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13" w:rsidRPr="007433C0" w:rsidRDefault="003C3207" w:rsidP="00664DC3">
      <w:pPr>
        <w:jc w:val="center"/>
        <w:rPr>
          <w:rFonts w:ascii="Times New Roman" w:hAnsi="Times New Roman"/>
          <w:b/>
          <w:color w:val="833C0B" w:themeColor="accent2" w:themeShade="80"/>
          <w:sz w:val="32"/>
        </w:rPr>
      </w:pPr>
      <w:r w:rsidRPr="007433C0">
        <w:rPr>
          <w:rFonts w:ascii="Times New Roman" w:hAnsi="Times New Roman"/>
          <w:b/>
          <w:color w:val="833C0B" w:themeColor="accent2" w:themeShade="80"/>
          <w:sz w:val="32"/>
        </w:rPr>
        <w:t>S</w:t>
      </w:r>
      <w:r w:rsidR="00664DC3" w:rsidRPr="007433C0">
        <w:rPr>
          <w:rFonts w:ascii="Times New Roman" w:hAnsi="Times New Roman"/>
          <w:b/>
          <w:color w:val="833C0B" w:themeColor="accent2" w:themeShade="80"/>
          <w:sz w:val="32"/>
        </w:rPr>
        <w:t>enate Advisory Committee</w:t>
      </w:r>
      <w:r w:rsidR="007433C0" w:rsidRPr="007433C0">
        <w:rPr>
          <w:rFonts w:ascii="Times New Roman" w:hAnsi="Times New Roman"/>
          <w:b/>
          <w:color w:val="833C0B" w:themeColor="accent2" w:themeShade="80"/>
          <w:sz w:val="32"/>
        </w:rPr>
        <w:t xml:space="preserve"> </w:t>
      </w:r>
      <w:r w:rsidR="00664DC3" w:rsidRPr="007433C0">
        <w:rPr>
          <w:rFonts w:ascii="Times New Roman" w:hAnsi="Times New Roman"/>
          <w:b/>
          <w:color w:val="833C0B" w:themeColor="accent2" w:themeShade="80"/>
          <w:sz w:val="32"/>
        </w:rPr>
        <w:t>on Equity, Diversity, and Inclusion</w:t>
      </w:r>
    </w:p>
    <w:p w:rsidR="003B1205" w:rsidRDefault="00664DC3" w:rsidP="004E0314">
      <w:pPr>
        <w:jc w:val="center"/>
        <w:rPr>
          <w:rFonts w:ascii="Times New Roman" w:hAnsi="Times New Roman"/>
          <w:b/>
          <w:i/>
          <w:sz w:val="24"/>
        </w:rPr>
      </w:pPr>
      <w:r w:rsidRPr="003B1205">
        <w:rPr>
          <w:rFonts w:ascii="Times New Roman" w:hAnsi="Times New Roman"/>
          <w:b/>
          <w:i/>
          <w:sz w:val="24"/>
        </w:rPr>
        <w:t xml:space="preserve">Annual Report and </w:t>
      </w:r>
      <w:r w:rsidR="004E0314" w:rsidRPr="003B1205">
        <w:rPr>
          <w:rFonts w:ascii="Times New Roman" w:hAnsi="Times New Roman"/>
          <w:b/>
          <w:i/>
          <w:sz w:val="24"/>
        </w:rPr>
        <w:t xml:space="preserve">request to present </w:t>
      </w:r>
      <w:r w:rsidRPr="003B1205">
        <w:rPr>
          <w:rFonts w:ascii="Times New Roman" w:hAnsi="Times New Roman"/>
          <w:b/>
          <w:i/>
          <w:sz w:val="24"/>
        </w:rPr>
        <w:t>Recommendations</w:t>
      </w:r>
      <w:r w:rsidR="004E0314" w:rsidRPr="003B1205">
        <w:rPr>
          <w:rFonts w:ascii="Times New Roman" w:hAnsi="Times New Roman"/>
          <w:b/>
          <w:i/>
          <w:sz w:val="24"/>
        </w:rPr>
        <w:t xml:space="preserve"> to the Senate</w:t>
      </w:r>
    </w:p>
    <w:p w:rsidR="00664DC3" w:rsidRPr="003B1205" w:rsidRDefault="007433C0" w:rsidP="004E0314">
      <w:pPr>
        <w:jc w:val="center"/>
        <w:rPr>
          <w:rFonts w:ascii="Times New Roman" w:hAnsi="Times New Roman"/>
          <w:b/>
          <w:i/>
          <w:sz w:val="24"/>
        </w:rPr>
      </w:pPr>
      <w:r w:rsidRPr="003B1205">
        <w:rPr>
          <w:rFonts w:ascii="Times New Roman" w:hAnsi="Times New Roman"/>
          <w:b/>
          <w:i/>
          <w:sz w:val="24"/>
        </w:rPr>
        <w:t xml:space="preserve"> </w:t>
      </w:r>
      <w:r w:rsidR="004E0314" w:rsidRPr="003B1205">
        <w:rPr>
          <w:rFonts w:ascii="Times New Roman" w:hAnsi="Times New Roman"/>
          <w:b/>
          <w:i/>
          <w:sz w:val="24"/>
        </w:rPr>
        <w:t>Drdave Derezotes, Chair, SAC-EDI</w:t>
      </w:r>
    </w:p>
    <w:p w:rsidR="007433C0" w:rsidRDefault="007433C0" w:rsidP="00664DC3">
      <w:pPr>
        <w:rPr>
          <w:rFonts w:ascii="Times New Roman" w:hAnsi="Times New Roman"/>
          <w:b/>
          <w:color w:val="833C0B" w:themeColor="accent2" w:themeShade="80"/>
          <w:sz w:val="36"/>
        </w:rPr>
      </w:pPr>
    </w:p>
    <w:p w:rsidR="00664DC3" w:rsidRDefault="0048333F" w:rsidP="00664DC3">
      <w:pPr>
        <w:rPr>
          <w:rFonts w:ascii="Times New Roman" w:hAnsi="Times New Roman"/>
          <w:b/>
          <w:color w:val="833C0B" w:themeColor="accent2" w:themeShade="80"/>
          <w:sz w:val="36"/>
        </w:rPr>
      </w:pPr>
      <w:r w:rsidRPr="007433C0">
        <w:rPr>
          <w:rFonts w:ascii="Times New Roman" w:hAnsi="Times New Roman"/>
          <w:b/>
          <w:color w:val="833C0B" w:themeColor="accent2" w:themeShade="80"/>
          <w:sz w:val="36"/>
        </w:rPr>
        <w:t>Name change and broadening of mission</w:t>
      </w:r>
    </w:p>
    <w:p w:rsidR="00EE7D0D" w:rsidRPr="007433C0" w:rsidRDefault="00EE7D0D" w:rsidP="00664DC3">
      <w:pPr>
        <w:rPr>
          <w:rFonts w:ascii="Times New Roman" w:hAnsi="Times New Roman"/>
          <w:b/>
          <w:color w:val="833C0B" w:themeColor="accent2" w:themeShade="80"/>
          <w:sz w:val="36"/>
        </w:rPr>
      </w:pPr>
      <w:r w:rsidRPr="00CC60C2">
        <w:rPr>
          <w:rFonts w:ascii="Times New Roman" w:hAnsi="Times New Roman"/>
          <w:b/>
          <w:sz w:val="24"/>
        </w:rPr>
        <w:t xml:space="preserve">The </w:t>
      </w:r>
      <w:r>
        <w:rPr>
          <w:rFonts w:ascii="Times New Roman" w:hAnsi="Times New Roman"/>
          <w:b/>
          <w:sz w:val="24"/>
        </w:rPr>
        <w:t xml:space="preserve">Senate has revised University </w:t>
      </w:r>
      <w:hyperlink r:id="rId5" w:history="1">
        <w:r w:rsidRPr="009678C9">
          <w:rPr>
            <w:rStyle w:val="Hyperlink"/>
            <w:rFonts w:ascii="Times New Roman" w:hAnsi="Times New Roman"/>
            <w:b/>
            <w:sz w:val="24"/>
          </w:rPr>
          <w:t>Policy 6-002</w:t>
        </w:r>
      </w:hyperlink>
      <w:r>
        <w:rPr>
          <w:rFonts w:ascii="Times New Roman" w:hAnsi="Times New Roman"/>
          <w:b/>
          <w:sz w:val="24"/>
        </w:rPr>
        <w:t xml:space="preserve">--Senate Committees, effective July 1 2021, to change our </w:t>
      </w:r>
      <w:r w:rsidRPr="00CC60C2">
        <w:rPr>
          <w:rFonts w:ascii="Times New Roman" w:hAnsi="Times New Roman"/>
          <w:b/>
          <w:sz w:val="24"/>
        </w:rPr>
        <w:t xml:space="preserve">Committee name from Senate Advisory Committee on Diversity to Senate Advisory Committee on Equity, Diversity, and Inclusion (SAC_EDI) to </w:t>
      </w:r>
      <w:r>
        <w:rPr>
          <w:rFonts w:ascii="Times New Roman" w:hAnsi="Times New Roman"/>
          <w:b/>
          <w:sz w:val="24"/>
        </w:rPr>
        <w:t xml:space="preserve">become </w:t>
      </w:r>
      <w:r w:rsidRPr="00CC60C2">
        <w:rPr>
          <w:rFonts w:ascii="Times New Roman" w:hAnsi="Times New Roman"/>
          <w:b/>
          <w:sz w:val="24"/>
        </w:rPr>
        <w:t xml:space="preserve">both more consistent with the current literature and </w:t>
      </w:r>
      <w:r>
        <w:rPr>
          <w:rFonts w:ascii="Times New Roman" w:hAnsi="Times New Roman"/>
          <w:b/>
          <w:sz w:val="24"/>
        </w:rPr>
        <w:t xml:space="preserve">with </w:t>
      </w:r>
      <w:r w:rsidRPr="00CC60C2">
        <w:rPr>
          <w:rFonts w:ascii="Times New Roman" w:hAnsi="Times New Roman"/>
          <w:b/>
          <w:sz w:val="24"/>
        </w:rPr>
        <w:t>other University and Community programs and to broaden our mission</w:t>
      </w:r>
      <w:r>
        <w:rPr>
          <w:rFonts w:ascii="Times New Roman" w:hAnsi="Times New Roman"/>
          <w:b/>
          <w:sz w:val="24"/>
        </w:rPr>
        <w:t xml:space="preserve">. The name and mission is summarized below in </w:t>
      </w:r>
      <w:r w:rsidRPr="00CC60C2">
        <w:rPr>
          <w:rFonts w:ascii="Times New Roman" w:hAnsi="Times New Roman"/>
          <w:b/>
          <w:sz w:val="24"/>
        </w:rPr>
        <w:t>figure 1.</w:t>
      </w:r>
    </w:p>
    <w:p w:rsidR="00213A95" w:rsidRDefault="00664DC3">
      <w:pPr>
        <w:rPr>
          <w:rFonts w:ascii="Times New Roman" w:hAnsi="Times New Roman"/>
          <w:b/>
          <w:sz w:val="24"/>
        </w:rPr>
      </w:pPr>
      <w:r>
        <w:rPr>
          <w:rFonts w:ascii="Times New Roman" w:hAnsi="Times New Roman"/>
          <w:b/>
          <w:noProof/>
          <w:sz w:val="24"/>
        </w:rPr>
        <w:drawing>
          <wp:inline distT="0" distB="0" distL="0" distR="0">
            <wp:extent cx="5972175" cy="4724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8333F" w:rsidRPr="0048333F" w:rsidRDefault="0048333F" w:rsidP="0048333F">
      <w:pPr>
        <w:spacing w:line="256" w:lineRule="auto"/>
        <w:rPr>
          <w:rFonts w:ascii="Times New Roman" w:eastAsia="Times New Roman" w:hAnsi="Times New Roman" w:cs="Times New Roman"/>
          <w:sz w:val="16"/>
          <w:szCs w:val="24"/>
        </w:rPr>
      </w:pPr>
      <w:r>
        <w:rPr>
          <w:rFonts w:ascii="Arial" w:eastAsia="Calibri" w:hAnsi="Arial" w:cs="Arial"/>
          <w:kern w:val="24"/>
          <w:sz w:val="16"/>
          <w:szCs w:val="28"/>
        </w:rPr>
        <w:t>f</w:t>
      </w:r>
      <w:r w:rsidRPr="0048333F">
        <w:rPr>
          <w:rFonts w:ascii="Arial" w:eastAsia="Calibri" w:hAnsi="Arial" w:cs="Arial"/>
          <w:kern w:val="24"/>
          <w:sz w:val="16"/>
          <w:szCs w:val="28"/>
        </w:rPr>
        <w:t>igure 1.</w:t>
      </w:r>
      <w:r>
        <w:rPr>
          <w:rFonts w:ascii="Arial" w:eastAsia="Calibri" w:hAnsi="Arial" w:cs="Arial"/>
          <w:kern w:val="24"/>
          <w:sz w:val="16"/>
          <w:szCs w:val="28"/>
        </w:rPr>
        <w:t xml:space="preserve"> </w:t>
      </w:r>
      <w:r>
        <w:rPr>
          <w:rFonts w:ascii="Arial" w:eastAsia="Calibri" w:hAnsi="Arial" w:cs="Arial"/>
          <w:kern w:val="24"/>
          <w:sz w:val="16"/>
          <w:szCs w:val="28"/>
        </w:rPr>
        <w:tab/>
      </w:r>
      <w:r>
        <w:rPr>
          <w:rFonts w:ascii="Arial" w:eastAsia="Calibri" w:hAnsi="Arial" w:cs="Arial"/>
          <w:kern w:val="24"/>
          <w:sz w:val="16"/>
          <w:szCs w:val="28"/>
        </w:rPr>
        <w:tab/>
      </w:r>
      <w:r>
        <w:rPr>
          <w:rFonts w:ascii="Arial" w:eastAsia="Calibri" w:hAnsi="Arial" w:cs="Arial"/>
          <w:kern w:val="24"/>
          <w:sz w:val="16"/>
          <w:szCs w:val="28"/>
        </w:rPr>
        <w:tab/>
      </w:r>
      <w:r>
        <w:rPr>
          <w:rFonts w:ascii="Arial" w:eastAsia="Calibri" w:hAnsi="Arial" w:cs="Arial"/>
          <w:kern w:val="24"/>
          <w:sz w:val="16"/>
          <w:szCs w:val="28"/>
        </w:rPr>
        <w:tab/>
      </w:r>
      <w:r>
        <w:rPr>
          <w:rFonts w:ascii="Arial" w:eastAsia="Calibri" w:hAnsi="Arial" w:cs="Arial"/>
          <w:kern w:val="24"/>
          <w:sz w:val="16"/>
          <w:szCs w:val="28"/>
        </w:rPr>
        <w:tab/>
      </w:r>
      <w:r>
        <w:rPr>
          <w:rFonts w:ascii="Arial" w:eastAsia="Calibri" w:hAnsi="Arial" w:cs="Arial"/>
          <w:kern w:val="24"/>
          <w:sz w:val="16"/>
          <w:szCs w:val="28"/>
        </w:rPr>
        <w:tab/>
      </w:r>
      <w:r>
        <w:rPr>
          <w:rFonts w:ascii="Arial" w:eastAsia="Calibri" w:hAnsi="Arial" w:cs="Arial"/>
          <w:kern w:val="24"/>
          <w:sz w:val="16"/>
          <w:szCs w:val="28"/>
        </w:rPr>
        <w:tab/>
      </w:r>
      <w:r>
        <w:rPr>
          <w:rFonts w:ascii="Arial" w:eastAsia="Calibri" w:hAnsi="Arial" w:cs="Arial"/>
          <w:kern w:val="24"/>
          <w:sz w:val="16"/>
          <w:szCs w:val="28"/>
        </w:rPr>
        <w:tab/>
      </w:r>
      <w:r>
        <w:rPr>
          <w:rFonts w:ascii="Arial" w:eastAsia="Calibri" w:hAnsi="Arial" w:cs="Arial"/>
          <w:kern w:val="24"/>
          <w:sz w:val="16"/>
          <w:szCs w:val="28"/>
        </w:rPr>
        <w:tab/>
        <w:t xml:space="preserve">     </w:t>
      </w:r>
      <w:hyperlink r:id="rId11" w:history="1">
        <w:r w:rsidRPr="0048333F">
          <w:rPr>
            <w:rStyle w:val="Hyperlink"/>
            <w:rFonts w:ascii="Arial" w:eastAsia="Calibri" w:hAnsi="Arial" w:cs="Arial"/>
            <w:color w:val="auto"/>
            <w:kern w:val="24"/>
            <w:sz w:val="16"/>
            <w:szCs w:val="28"/>
          </w:rPr>
          <w:t>https://globaldiversitypractice.com/what-is-diversity-inclusion/</w:t>
        </w:r>
      </w:hyperlink>
      <w:r w:rsidRPr="0048333F">
        <w:rPr>
          <w:rFonts w:ascii="Arial" w:eastAsia="Calibri" w:hAnsi="Arial" w:cs="Arial"/>
          <w:kern w:val="24"/>
          <w:sz w:val="16"/>
          <w:szCs w:val="28"/>
        </w:rPr>
        <w:t xml:space="preserve">   </w:t>
      </w:r>
      <w:r w:rsidRPr="0048333F">
        <w:rPr>
          <w:rFonts w:ascii="Arial" w:eastAsia="Calibri" w:hAnsi="Arial" w:cs="Arial"/>
          <w:kern w:val="24"/>
          <w:sz w:val="16"/>
          <w:szCs w:val="28"/>
        </w:rPr>
        <w:tab/>
      </w:r>
      <w:r w:rsidRPr="0048333F">
        <w:rPr>
          <w:rFonts w:ascii="Arial" w:eastAsia="Calibri" w:hAnsi="Arial" w:cs="Arial"/>
          <w:kern w:val="24"/>
          <w:sz w:val="16"/>
          <w:szCs w:val="28"/>
        </w:rPr>
        <w:tab/>
      </w:r>
      <w:r w:rsidRPr="0048333F">
        <w:rPr>
          <w:rFonts w:ascii="Arial" w:eastAsia="Calibri" w:hAnsi="Arial" w:cs="Arial"/>
          <w:kern w:val="24"/>
          <w:sz w:val="16"/>
          <w:szCs w:val="28"/>
        </w:rPr>
        <w:tab/>
        <w:t xml:space="preserve">                           https://www.thoughtco.com/equity-vs-equality-4767021</w:t>
      </w:r>
    </w:p>
    <w:p w:rsidR="00213A95" w:rsidRDefault="00213A95">
      <w:pPr>
        <w:rPr>
          <w:rFonts w:ascii="Times New Roman" w:hAnsi="Times New Roman"/>
          <w:b/>
          <w:sz w:val="24"/>
        </w:rPr>
      </w:pPr>
    </w:p>
    <w:p w:rsidR="004E0314" w:rsidRPr="007433C0" w:rsidRDefault="004E0314" w:rsidP="00FF6697">
      <w:pPr>
        <w:rPr>
          <w:rFonts w:ascii="Times New Roman" w:hAnsi="Times New Roman" w:cs="Times New Roman"/>
          <w:b/>
          <w:bCs/>
          <w:color w:val="833C0B" w:themeColor="accent2" w:themeShade="80"/>
          <w:sz w:val="36"/>
          <w:szCs w:val="24"/>
        </w:rPr>
      </w:pPr>
      <w:r w:rsidRPr="007433C0">
        <w:rPr>
          <w:rFonts w:ascii="Times New Roman" w:hAnsi="Times New Roman" w:cs="Times New Roman"/>
          <w:b/>
          <w:bCs/>
          <w:color w:val="833C0B" w:themeColor="accent2" w:themeShade="80"/>
          <w:sz w:val="36"/>
          <w:szCs w:val="24"/>
        </w:rPr>
        <w:t>Subcommittees</w:t>
      </w:r>
    </w:p>
    <w:p w:rsidR="00CC60C2" w:rsidRDefault="00CC60C2" w:rsidP="00FF6697">
      <w:pPr>
        <w:rPr>
          <w:rFonts w:ascii="Times New Roman" w:hAnsi="Times New Roman" w:cs="Times New Roman"/>
          <w:b/>
          <w:bCs/>
          <w:sz w:val="24"/>
          <w:szCs w:val="24"/>
        </w:rPr>
      </w:pPr>
      <w:r>
        <w:rPr>
          <w:rFonts w:ascii="Times New Roman" w:hAnsi="Times New Roman" w:cs="Times New Roman"/>
          <w:b/>
          <w:bCs/>
          <w:sz w:val="24"/>
          <w:szCs w:val="24"/>
        </w:rPr>
        <w:t xml:space="preserve">The SAC-EDI </w:t>
      </w:r>
      <w:r w:rsidR="001C2B72">
        <w:rPr>
          <w:rFonts w:ascii="Times New Roman" w:hAnsi="Times New Roman" w:cs="Times New Roman"/>
          <w:b/>
          <w:bCs/>
          <w:sz w:val="24"/>
          <w:szCs w:val="24"/>
        </w:rPr>
        <w:t xml:space="preserve">decided to </w:t>
      </w:r>
      <w:r>
        <w:rPr>
          <w:rFonts w:ascii="Times New Roman" w:hAnsi="Times New Roman" w:cs="Times New Roman"/>
          <w:b/>
          <w:bCs/>
          <w:sz w:val="24"/>
          <w:szCs w:val="24"/>
        </w:rPr>
        <w:t xml:space="preserve">form three subcommittees for academic year 2020-2021. </w:t>
      </w:r>
      <w:r w:rsidR="001C2B72">
        <w:rPr>
          <w:rFonts w:ascii="Times New Roman" w:hAnsi="Times New Roman" w:cs="Times New Roman"/>
          <w:b/>
          <w:bCs/>
          <w:sz w:val="24"/>
          <w:szCs w:val="24"/>
        </w:rPr>
        <w:t>These subcommittees were working groups, each with a different focus.</w:t>
      </w:r>
    </w:p>
    <w:p w:rsidR="007433C0" w:rsidRDefault="007433C0" w:rsidP="00FF6697">
      <w:pPr>
        <w:rPr>
          <w:rFonts w:ascii="Times New Roman" w:hAnsi="Times New Roman" w:cs="Times New Roman"/>
          <w:b/>
          <w:bCs/>
          <w:sz w:val="24"/>
          <w:szCs w:val="24"/>
        </w:rPr>
      </w:pPr>
      <w:r>
        <w:rPr>
          <w:rFonts w:ascii="Times New Roman" w:hAnsi="Times New Roman" w:cs="Times New Roman"/>
          <w:b/>
          <w:bCs/>
          <w:sz w:val="24"/>
          <w:szCs w:val="24"/>
        </w:rPr>
        <w:t xml:space="preserve">Most of our work this academic year was focused on the subcommittees. We spent </w:t>
      </w:r>
      <w:r w:rsidR="00347D2C">
        <w:rPr>
          <w:rFonts w:ascii="Times New Roman" w:hAnsi="Times New Roman" w:cs="Times New Roman"/>
          <w:b/>
          <w:bCs/>
          <w:sz w:val="24"/>
          <w:szCs w:val="24"/>
        </w:rPr>
        <w:t xml:space="preserve">our </w:t>
      </w:r>
      <w:r>
        <w:rPr>
          <w:rFonts w:ascii="Times New Roman" w:hAnsi="Times New Roman" w:cs="Times New Roman"/>
          <w:b/>
          <w:bCs/>
          <w:sz w:val="24"/>
          <w:szCs w:val="24"/>
        </w:rPr>
        <w:t>time talking with many other programs and units on campus to find out what kinds of services currently exist, where the need for change still exists, and then formulating recommendations.</w:t>
      </w:r>
    </w:p>
    <w:p w:rsidR="00FF6697" w:rsidRDefault="00FF6697" w:rsidP="00FF6697">
      <w:pPr>
        <w:rPr>
          <w:rFonts w:ascii="Times New Roman" w:hAnsi="Times New Roman" w:cs="Times New Roman"/>
          <w:b/>
          <w:bCs/>
          <w:sz w:val="24"/>
          <w:szCs w:val="24"/>
        </w:rPr>
      </w:pPr>
      <w:r>
        <w:rPr>
          <w:rFonts w:ascii="Times New Roman" w:hAnsi="Times New Roman" w:cs="Times New Roman"/>
          <w:b/>
          <w:bCs/>
          <w:sz w:val="24"/>
          <w:szCs w:val="24"/>
        </w:rPr>
        <w:t>SAC</w:t>
      </w:r>
      <w:r w:rsidR="00EE7D0D">
        <w:rPr>
          <w:rFonts w:ascii="Times New Roman" w:hAnsi="Times New Roman" w:cs="Times New Roman"/>
          <w:b/>
          <w:bCs/>
          <w:sz w:val="24"/>
          <w:szCs w:val="24"/>
        </w:rPr>
        <w:t>-EDI</w:t>
      </w:r>
      <w:r>
        <w:rPr>
          <w:rFonts w:ascii="Times New Roman" w:hAnsi="Times New Roman" w:cs="Times New Roman"/>
          <w:b/>
          <w:bCs/>
          <w:sz w:val="24"/>
          <w:szCs w:val="24"/>
        </w:rPr>
        <w:t xml:space="preserve"> Subcommittees for 2020-2021</w:t>
      </w:r>
      <w:r w:rsidR="00CC60C2">
        <w:rPr>
          <w:rFonts w:ascii="Times New Roman" w:hAnsi="Times New Roman" w:cs="Times New Roman"/>
          <w:b/>
          <w:bCs/>
          <w:sz w:val="24"/>
          <w:szCs w:val="24"/>
        </w:rPr>
        <w:t>. The names and potential group actions are described below in figure 2.</w:t>
      </w:r>
    </w:p>
    <w:p w:rsidR="00CC60C2" w:rsidRDefault="00CC60C2" w:rsidP="00FF6697">
      <w:pPr>
        <w:rPr>
          <w:rFonts w:ascii="Times New Roman" w:hAnsi="Times New Roman" w:cs="Times New Roman"/>
          <w:b/>
          <w:bCs/>
          <w:sz w:val="24"/>
          <w:szCs w:val="24"/>
        </w:rPr>
      </w:pPr>
    </w:p>
    <w:p w:rsidR="00CC60C2" w:rsidRDefault="00CC60C2" w:rsidP="00FF6697">
      <w:pPr>
        <w:rPr>
          <w:rFonts w:ascii="Times New Roman" w:hAnsi="Times New Roman" w:cs="Times New Roman"/>
          <w:b/>
          <w:bCs/>
          <w:sz w:val="24"/>
          <w:szCs w:val="24"/>
        </w:rPr>
      </w:pPr>
      <w:r>
        <w:rPr>
          <w:rFonts w:ascii="Times New Roman" w:hAnsi="Times New Roman" w:cs="Times New Roman"/>
          <w:b/>
          <w:bCs/>
          <w:sz w:val="24"/>
          <w:szCs w:val="24"/>
        </w:rPr>
        <w:t>Figure 2</w:t>
      </w:r>
    </w:p>
    <w:tbl>
      <w:tblPr>
        <w:tblW w:w="6470" w:type="dxa"/>
        <w:tblCellMar>
          <w:left w:w="0" w:type="dxa"/>
          <w:right w:w="0" w:type="dxa"/>
        </w:tblCellMar>
        <w:tblLook w:val="04A0" w:firstRow="1" w:lastRow="0" w:firstColumn="1" w:lastColumn="0" w:noHBand="0" w:noVBand="1"/>
      </w:tblPr>
      <w:tblGrid>
        <w:gridCol w:w="2230"/>
        <w:gridCol w:w="4240"/>
      </w:tblGrid>
      <w:tr w:rsidR="00CC60C2" w:rsidTr="00347D2C">
        <w:trPr>
          <w:trHeight w:val="1015"/>
        </w:trPr>
        <w:tc>
          <w:tcPr>
            <w:tcW w:w="2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697" w:rsidRDefault="00CC60C2" w:rsidP="00CC60C2">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SUBCOMMITTEE </w:t>
            </w:r>
          </w:p>
        </w:tc>
        <w:tc>
          <w:tcPr>
            <w:tcW w:w="4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697" w:rsidRDefault="00347D2C">
            <w:pPr>
              <w:spacing w:line="252" w:lineRule="auto"/>
              <w:rPr>
                <w:rFonts w:ascii="Times New Roman" w:hAnsi="Times New Roman" w:cs="Times New Roman"/>
                <w:b/>
                <w:bCs/>
                <w:sz w:val="24"/>
                <w:szCs w:val="24"/>
              </w:rPr>
            </w:pPr>
            <w:r>
              <w:rPr>
                <w:rFonts w:ascii="Times New Roman" w:hAnsi="Times New Roman" w:cs="Times New Roman"/>
                <w:b/>
                <w:bCs/>
                <w:sz w:val="24"/>
                <w:szCs w:val="24"/>
              </w:rPr>
              <w:t>GROUP GOALS</w:t>
            </w:r>
          </w:p>
        </w:tc>
      </w:tr>
      <w:tr w:rsidR="004E0314" w:rsidTr="00347D2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0314" w:rsidRDefault="004E0314">
            <w:pPr>
              <w:spacing w:line="252" w:lineRule="auto"/>
              <w:rPr>
                <w:rFonts w:ascii="Times New Roman" w:hAnsi="Times New Roman" w:cs="Times New Roman"/>
                <w:b/>
                <w:bCs/>
                <w:i/>
                <w:iCs/>
                <w:color w:val="7030A0"/>
                <w:sz w:val="24"/>
                <w:szCs w:val="24"/>
              </w:rPr>
            </w:pPr>
            <w:r>
              <w:rPr>
                <w:rFonts w:ascii="Times New Roman" w:hAnsi="Times New Roman" w:cs="Times New Roman"/>
                <w:b/>
                <w:bCs/>
                <w:i/>
                <w:iCs/>
                <w:color w:val="7030A0"/>
                <w:sz w:val="24"/>
                <w:szCs w:val="24"/>
              </w:rPr>
              <w:t>Diversity statement</w:t>
            </w:r>
          </w:p>
        </w:tc>
        <w:tc>
          <w:tcPr>
            <w:tcW w:w="4240" w:type="dxa"/>
            <w:tcBorders>
              <w:top w:val="nil"/>
              <w:left w:val="nil"/>
              <w:bottom w:val="single" w:sz="8" w:space="0" w:color="auto"/>
              <w:right w:val="single" w:sz="8" w:space="0" w:color="auto"/>
            </w:tcBorders>
            <w:tcMar>
              <w:top w:w="0" w:type="dxa"/>
              <w:left w:w="108" w:type="dxa"/>
              <w:bottom w:w="0" w:type="dxa"/>
              <w:right w:w="108" w:type="dxa"/>
            </w:tcMar>
          </w:tcPr>
          <w:p w:rsidR="004E0314" w:rsidRPr="004E0314" w:rsidRDefault="004E0314" w:rsidP="004E0314">
            <w:pPr>
              <w:spacing w:line="252" w:lineRule="auto"/>
              <w:rPr>
                <w:rFonts w:ascii="Times New Roman" w:hAnsi="Times New Roman" w:cs="Times New Roman"/>
                <w:b/>
                <w:bCs/>
                <w:color w:val="70AD47"/>
                <w:sz w:val="24"/>
                <w:szCs w:val="24"/>
              </w:rPr>
            </w:pPr>
            <w:r w:rsidRPr="004E0314">
              <w:rPr>
                <w:rFonts w:ascii="Times New Roman" w:hAnsi="Times New Roman" w:cs="Times New Roman"/>
                <w:b/>
                <w:bCs/>
                <w:color w:val="70AD47"/>
                <w:sz w:val="24"/>
                <w:szCs w:val="24"/>
              </w:rPr>
              <w:t>Develop diversity statement for hiring processes</w:t>
            </w:r>
          </w:p>
          <w:p w:rsidR="004E0314" w:rsidRDefault="004E0314" w:rsidP="004E0314">
            <w:pPr>
              <w:spacing w:line="252" w:lineRule="auto"/>
              <w:rPr>
                <w:rFonts w:ascii="Times New Roman" w:hAnsi="Times New Roman" w:cs="Times New Roman"/>
                <w:b/>
                <w:bCs/>
                <w:color w:val="70AD47"/>
                <w:sz w:val="24"/>
                <w:szCs w:val="24"/>
              </w:rPr>
            </w:pPr>
            <w:r w:rsidRPr="004E0314">
              <w:rPr>
                <w:rFonts w:ascii="Times New Roman" w:hAnsi="Times New Roman" w:cs="Times New Roman"/>
                <w:b/>
                <w:bCs/>
                <w:color w:val="70AD47"/>
                <w:sz w:val="24"/>
                <w:szCs w:val="24"/>
              </w:rPr>
              <w:t>Develop diversity statement for annual reviews, tenure, promotion</w:t>
            </w:r>
          </w:p>
        </w:tc>
      </w:tr>
      <w:tr w:rsidR="004E0314" w:rsidTr="00347D2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0314" w:rsidRDefault="004E0314" w:rsidP="004E0314">
            <w:pPr>
              <w:spacing w:line="252" w:lineRule="auto"/>
              <w:rPr>
                <w:rFonts w:ascii="Times New Roman" w:hAnsi="Times New Roman" w:cs="Times New Roman"/>
                <w:b/>
                <w:bCs/>
                <w:i/>
                <w:iCs/>
                <w:color w:val="7030A0"/>
                <w:sz w:val="24"/>
                <w:szCs w:val="24"/>
              </w:rPr>
            </w:pPr>
            <w:r>
              <w:rPr>
                <w:rFonts w:ascii="Times New Roman" w:hAnsi="Times New Roman" w:cs="Times New Roman"/>
                <w:b/>
                <w:bCs/>
                <w:i/>
                <w:iCs/>
                <w:color w:val="7030A0"/>
                <w:sz w:val="24"/>
                <w:szCs w:val="24"/>
              </w:rPr>
              <w:t>Culture change</w:t>
            </w:r>
          </w:p>
        </w:tc>
        <w:tc>
          <w:tcPr>
            <w:tcW w:w="4240" w:type="dxa"/>
            <w:tcBorders>
              <w:top w:val="nil"/>
              <w:left w:val="nil"/>
              <w:bottom w:val="single" w:sz="8" w:space="0" w:color="auto"/>
              <w:right w:val="single" w:sz="8" w:space="0" w:color="auto"/>
            </w:tcBorders>
            <w:tcMar>
              <w:top w:w="0" w:type="dxa"/>
              <w:left w:w="108" w:type="dxa"/>
              <w:bottom w:w="0" w:type="dxa"/>
              <w:right w:w="108" w:type="dxa"/>
            </w:tcMar>
          </w:tcPr>
          <w:p w:rsidR="004E0314" w:rsidRDefault="004E0314" w:rsidP="004E0314">
            <w:pPr>
              <w:spacing w:line="252" w:lineRule="auto"/>
              <w:rPr>
                <w:rFonts w:ascii="Times New Roman" w:hAnsi="Times New Roman" w:cs="Times New Roman"/>
                <w:b/>
                <w:bCs/>
                <w:color w:val="70AD47"/>
                <w:sz w:val="24"/>
                <w:szCs w:val="24"/>
              </w:rPr>
            </w:pPr>
            <w:r>
              <w:rPr>
                <w:rFonts w:ascii="Times New Roman" w:hAnsi="Times New Roman" w:cs="Times New Roman"/>
                <w:b/>
                <w:bCs/>
                <w:color w:val="70AD47"/>
                <w:sz w:val="24"/>
                <w:szCs w:val="24"/>
              </w:rPr>
              <w:t>Develop  programs &amp; policies that support campus climate change:</w:t>
            </w:r>
          </w:p>
          <w:p w:rsidR="004E0314" w:rsidRDefault="004E0314" w:rsidP="004E0314">
            <w:pPr>
              <w:spacing w:line="252" w:lineRule="auto"/>
              <w:rPr>
                <w:rFonts w:ascii="Times New Roman" w:hAnsi="Times New Roman" w:cs="Times New Roman"/>
                <w:b/>
                <w:bCs/>
                <w:color w:val="70AD47"/>
                <w:sz w:val="24"/>
                <w:szCs w:val="24"/>
              </w:rPr>
            </w:pPr>
            <w:r>
              <w:rPr>
                <w:rFonts w:ascii="Times New Roman" w:hAnsi="Times New Roman" w:cs="Times New Roman"/>
                <w:b/>
                <w:bCs/>
                <w:color w:val="70AD47"/>
                <w:sz w:val="24"/>
                <w:szCs w:val="24"/>
              </w:rPr>
              <w:t>These may include teacher training, hiring and recruitment and retention, student services, and reduction of differential impacts &amp; professional loneliness</w:t>
            </w:r>
          </w:p>
        </w:tc>
      </w:tr>
      <w:tr w:rsidR="004E0314" w:rsidTr="00347D2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314" w:rsidRDefault="004E0314" w:rsidP="004E0314">
            <w:pPr>
              <w:spacing w:line="252" w:lineRule="auto"/>
              <w:rPr>
                <w:rFonts w:ascii="Times New Roman" w:hAnsi="Times New Roman" w:cs="Times New Roman"/>
                <w:b/>
                <w:bCs/>
                <w:i/>
                <w:iCs/>
                <w:color w:val="7030A0"/>
                <w:sz w:val="24"/>
                <w:szCs w:val="24"/>
              </w:rPr>
            </w:pPr>
            <w:r>
              <w:rPr>
                <w:rFonts w:ascii="Times New Roman" w:hAnsi="Times New Roman" w:cs="Times New Roman"/>
                <w:b/>
                <w:bCs/>
                <w:i/>
                <w:iCs/>
                <w:color w:val="7030A0"/>
                <w:sz w:val="24"/>
                <w:szCs w:val="24"/>
              </w:rPr>
              <w:t>Research and clinical care mission</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4E0314" w:rsidRDefault="004E0314" w:rsidP="004E0314">
            <w:pPr>
              <w:spacing w:line="252" w:lineRule="auto"/>
              <w:rPr>
                <w:rFonts w:ascii="Times New Roman" w:hAnsi="Times New Roman" w:cs="Times New Roman"/>
                <w:b/>
                <w:bCs/>
                <w:color w:val="70AD47"/>
                <w:sz w:val="24"/>
                <w:szCs w:val="24"/>
              </w:rPr>
            </w:pPr>
            <w:r>
              <w:rPr>
                <w:rFonts w:ascii="Times New Roman" w:hAnsi="Times New Roman" w:cs="Times New Roman"/>
                <w:b/>
                <w:bCs/>
                <w:color w:val="70AD47"/>
                <w:sz w:val="24"/>
                <w:szCs w:val="24"/>
              </w:rPr>
              <w:t>Develop University policies that foster scholarly research in diversity</w:t>
            </w:r>
          </w:p>
          <w:p w:rsidR="004E0314" w:rsidRDefault="004E0314" w:rsidP="004E0314">
            <w:pPr>
              <w:spacing w:line="252" w:lineRule="auto"/>
              <w:rPr>
                <w:rFonts w:ascii="Times New Roman" w:hAnsi="Times New Roman" w:cs="Times New Roman"/>
                <w:b/>
                <w:bCs/>
                <w:color w:val="70AD47"/>
                <w:sz w:val="24"/>
                <w:szCs w:val="24"/>
              </w:rPr>
            </w:pPr>
            <w:r>
              <w:rPr>
                <w:rFonts w:ascii="Times New Roman" w:hAnsi="Times New Roman" w:cs="Times New Roman"/>
                <w:b/>
                <w:bCs/>
                <w:color w:val="70AD47"/>
                <w:sz w:val="24"/>
                <w:szCs w:val="24"/>
              </w:rPr>
              <w:t>Develop more inclusive health care systems</w:t>
            </w:r>
          </w:p>
        </w:tc>
      </w:tr>
    </w:tbl>
    <w:p w:rsidR="00FF6697" w:rsidRDefault="00FF6697" w:rsidP="00FF6697">
      <w:pPr>
        <w:rPr>
          <w:rFonts w:ascii="Times New Roman" w:hAnsi="Times New Roman" w:cs="Times New Roman"/>
          <w:sz w:val="24"/>
          <w:szCs w:val="24"/>
        </w:rPr>
      </w:pPr>
    </w:p>
    <w:p w:rsidR="007433C0" w:rsidRDefault="007433C0" w:rsidP="00980C42">
      <w:pPr>
        <w:rPr>
          <w:rFonts w:ascii="Times New Roman" w:hAnsi="Times New Roman"/>
          <w:b/>
          <w:color w:val="833C0B" w:themeColor="accent2" w:themeShade="80"/>
          <w:sz w:val="36"/>
        </w:rPr>
      </w:pPr>
    </w:p>
    <w:p w:rsidR="00347D2C" w:rsidRDefault="00347D2C" w:rsidP="00980C42">
      <w:pPr>
        <w:rPr>
          <w:rFonts w:ascii="Times New Roman" w:hAnsi="Times New Roman"/>
          <w:b/>
          <w:color w:val="833C0B" w:themeColor="accent2" w:themeShade="80"/>
          <w:sz w:val="36"/>
        </w:rPr>
      </w:pPr>
    </w:p>
    <w:p w:rsidR="00347D2C" w:rsidRDefault="00347D2C" w:rsidP="00980C42">
      <w:pPr>
        <w:rPr>
          <w:rFonts w:ascii="Times New Roman" w:hAnsi="Times New Roman"/>
          <w:b/>
          <w:color w:val="833C0B" w:themeColor="accent2" w:themeShade="80"/>
          <w:sz w:val="36"/>
        </w:rPr>
      </w:pPr>
    </w:p>
    <w:p w:rsidR="00FF6697" w:rsidRPr="007433C0" w:rsidRDefault="00980C42" w:rsidP="00980C42">
      <w:pPr>
        <w:rPr>
          <w:rFonts w:ascii="Times New Roman" w:hAnsi="Times New Roman"/>
          <w:b/>
          <w:color w:val="833C0B" w:themeColor="accent2" w:themeShade="80"/>
          <w:sz w:val="36"/>
        </w:rPr>
      </w:pPr>
      <w:r w:rsidRPr="007433C0">
        <w:rPr>
          <w:rFonts w:ascii="Times New Roman" w:hAnsi="Times New Roman"/>
          <w:b/>
          <w:color w:val="833C0B" w:themeColor="accent2" w:themeShade="80"/>
          <w:sz w:val="36"/>
        </w:rPr>
        <w:t>Leadership, membership, and work of subcommittees</w:t>
      </w:r>
    </w:p>
    <w:p w:rsidR="00FF6697" w:rsidRDefault="00FF6697">
      <w:pPr>
        <w:rPr>
          <w:rFonts w:ascii="Times New Roman" w:hAnsi="Times New Roman"/>
          <w:b/>
          <w:sz w:val="24"/>
        </w:rPr>
      </w:pPr>
    </w:p>
    <w:p w:rsidR="00CC60C2" w:rsidRDefault="00CC60C2">
      <w:pPr>
        <w:rPr>
          <w:rFonts w:ascii="Times New Roman" w:hAnsi="Times New Roman"/>
          <w:b/>
          <w:sz w:val="24"/>
        </w:rPr>
      </w:pPr>
      <w:r>
        <w:rPr>
          <w:rFonts w:ascii="Times New Roman" w:hAnsi="Times New Roman"/>
          <w:b/>
          <w:sz w:val="24"/>
        </w:rPr>
        <w:t>The leadership, membership, and a summary of the work of each subcommittee are described below in figures 3, 4, and 5.</w:t>
      </w:r>
    </w:p>
    <w:p w:rsidR="00CC60C2" w:rsidRDefault="00CC60C2">
      <w:pPr>
        <w:rPr>
          <w:rFonts w:ascii="Times New Roman" w:hAnsi="Times New Roman"/>
          <w:b/>
          <w:sz w:val="24"/>
        </w:rPr>
      </w:pPr>
    </w:p>
    <w:p w:rsidR="00CA6CC7" w:rsidRPr="002E3913" w:rsidRDefault="00CC60C2">
      <w:pPr>
        <w:rPr>
          <w:rFonts w:ascii="Times New Roman" w:hAnsi="Times New Roman"/>
          <w:b/>
          <w:sz w:val="24"/>
        </w:rPr>
      </w:pPr>
      <w:r>
        <w:rPr>
          <w:rFonts w:ascii="Times New Roman" w:hAnsi="Times New Roman"/>
          <w:b/>
          <w:sz w:val="24"/>
        </w:rPr>
        <w:t xml:space="preserve">Figure 3: </w:t>
      </w:r>
      <w:r w:rsidR="00CA6CC7">
        <w:rPr>
          <w:rFonts w:ascii="Times New Roman" w:hAnsi="Times New Roman"/>
          <w:b/>
          <w:sz w:val="24"/>
        </w:rPr>
        <w:t>Diversity statement</w:t>
      </w:r>
    </w:p>
    <w:tbl>
      <w:tblPr>
        <w:tblStyle w:val="TableGrid"/>
        <w:tblW w:w="0" w:type="auto"/>
        <w:tblLook w:val="04A0" w:firstRow="1" w:lastRow="0" w:firstColumn="1" w:lastColumn="0" w:noHBand="0" w:noVBand="1"/>
      </w:tblPr>
      <w:tblGrid>
        <w:gridCol w:w="9265"/>
      </w:tblGrid>
      <w:tr w:rsidR="00CA6CC7" w:rsidRPr="002E3913" w:rsidTr="00E57064">
        <w:trPr>
          <w:trHeight w:val="1610"/>
        </w:trPr>
        <w:tc>
          <w:tcPr>
            <w:tcW w:w="9265" w:type="dxa"/>
          </w:tcPr>
          <w:p w:rsidR="00CA6CC7" w:rsidRDefault="00CA6CC7" w:rsidP="00CA6CC7">
            <w:pPr>
              <w:rPr>
                <w:rFonts w:ascii="Times New Roman" w:hAnsi="Times New Roman" w:cs="Times New Roman"/>
                <w:b/>
                <w:bCs/>
                <w:sz w:val="24"/>
                <w:szCs w:val="24"/>
              </w:rPr>
            </w:pPr>
            <w:r>
              <w:rPr>
                <w:rFonts w:ascii="Times New Roman" w:hAnsi="Times New Roman" w:cs="Times New Roman"/>
                <w:b/>
                <w:bCs/>
                <w:i/>
                <w:iCs/>
                <w:color w:val="7030A0"/>
                <w:sz w:val="24"/>
                <w:szCs w:val="24"/>
              </w:rPr>
              <w:t>Diversity statemen</w:t>
            </w:r>
            <w:r w:rsidR="00F902E6">
              <w:rPr>
                <w:rFonts w:ascii="Times New Roman" w:hAnsi="Times New Roman" w:cs="Times New Roman"/>
                <w:b/>
                <w:bCs/>
                <w:i/>
                <w:iCs/>
                <w:color w:val="7030A0"/>
                <w:sz w:val="24"/>
                <w:szCs w:val="24"/>
              </w:rPr>
              <w:t>t subcommittee</w:t>
            </w:r>
          </w:p>
          <w:p w:rsidR="00CA6CC7" w:rsidRDefault="00CA6CC7" w:rsidP="00CA6CC7">
            <w:pPr>
              <w:rPr>
                <w:rFonts w:ascii="Times New Roman" w:hAnsi="Times New Roman" w:cs="Times New Roman"/>
                <w:b/>
                <w:bCs/>
                <w:color w:val="2F5496"/>
                <w:sz w:val="24"/>
                <w:szCs w:val="24"/>
              </w:rPr>
            </w:pPr>
            <w:r>
              <w:rPr>
                <w:rFonts w:ascii="Times New Roman" w:hAnsi="Times New Roman" w:cs="Times New Roman"/>
                <w:b/>
                <w:bCs/>
                <w:color w:val="2F5496"/>
                <w:sz w:val="24"/>
                <w:szCs w:val="24"/>
              </w:rPr>
              <w:t>Mary Anne Berzins   </w:t>
            </w:r>
          </w:p>
          <w:p w:rsidR="00CA6CC7" w:rsidRDefault="00CA6CC7" w:rsidP="00CA6CC7">
            <w:pPr>
              <w:rPr>
                <w:rFonts w:ascii="Times New Roman" w:hAnsi="Times New Roman" w:cs="Times New Roman"/>
                <w:b/>
                <w:bCs/>
                <w:color w:val="2F5496"/>
                <w:sz w:val="24"/>
                <w:szCs w:val="24"/>
              </w:rPr>
            </w:pPr>
            <w:r>
              <w:rPr>
                <w:rFonts w:ascii="Times New Roman" w:hAnsi="Times New Roman" w:cs="Times New Roman"/>
                <w:b/>
                <w:bCs/>
                <w:color w:val="2F5496"/>
                <w:sz w:val="24"/>
                <w:szCs w:val="24"/>
              </w:rPr>
              <w:t>Billi Tsuya</w:t>
            </w:r>
          </w:p>
          <w:p w:rsidR="00CA6CC7" w:rsidRDefault="00CA6CC7" w:rsidP="00CA6CC7">
            <w:pPr>
              <w:rPr>
                <w:rFonts w:ascii="Times New Roman" w:hAnsi="Times New Roman" w:cs="Times New Roman"/>
                <w:b/>
                <w:bCs/>
                <w:color w:val="2F5496"/>
                <w:sz w:val="24"/>
                <w:szCs w:val="24"/>
              </w:rPr>
            </w:pPr>
            <w:r>
              <w:rPr>
                <w:rFonts w:ascii="Times New Roman" w:hAnsi="Times New Roman" w:cs="Times New Roman"/>
                <w:b/>
                <w:bCs/>
                <w:color w:val="2F5496"/>
                <w:sz w:val="24"/>
                <w:szCs w:val="24"/>
              </w:rPr>
              <w:t xml:space="preserve">Maurico Laguan (Chair)                           </w:t>
            </w:r>
          </w:p>
          <w:p w:rsidR="0059274E" w:rsidRDefault="00CA6CC7" w:rsidP="00CA6CC7">
            <w:pPr>
              <w:rPr>
                <w:rFonts w:ascii="Times New Roman" w:hAnsi="Times New Roman" w:cs="Times New Roman"/>
                <w:b/>
                <w:bCs/>
                <w:color w:val="2F5496"/>
                <w:sz w:val="24"/>
                <w:szCs w:val="24"/>
              </w:rPr>
            </w:pPr>
            <w:r>
              <w:rPr>
                <w:rFonts w:ascii="Times New Roman" w:hAnsi="Times New Roman" w:cs="Times New Roman"/>
                <w:b/>
                <w:bCs/>
                <w:color w:val="2F5496"/>
                <w:sz w:val="24"/>
                <w:szCs w:val="24"/>
              </w:rPr>
              <w:t>Sherry Hayashi     </w:t>
            </w:r>
          </w:p>
          <w:p w:rsidR="0059274E" w:rsidRDefault="0059274E" w:rsidP="0059274E">
            <w:pPr>
              <w:rPr>
                <w:rFonts w:ascii="Times New Roman" w:hAnsi="Times New Roman" w:cs="Times New Roman"/>
                <w:b/>
                <w:bCs/>
                <w:color w:val="2F5496"/>
                <w:sz w:val="24"/>
                <w:szCs w:val="24"/>
              </w:rPr>
            </w:pPr>
            <w:r>
              <w:rPr>
                <w:rFonts w:ascii="Times New Roman" w:hAnsi="Times New Roman" w:cs="Times New Roman"/>
                <w:b/>
                <w:bCs/>
                <w:color w:val="2F5496"/>
                <w:sz w:val="24"/>
                <w:szCs w:val="24"/>
              </w:rPr>
              <w:t xml:space="preserve">Corrine Lewis                                              </w:t>
            </w:r>
          </w:p>
          <w:p w:rsidR="00CA6CC7" w:rsidRDefault="00CA6CC7" w:rsidP="00CA6CC7">
            <w:pPr>
              <w:rPr>
                <w:rFonts w:ascii="Times New Roman" w:hAnsi="Times New Roman" w:cs="Times New Roman"/>
                <w:b/>
                <w:bCs/>
                <w:color w:val="2F5496"/>
                <w:sz w:val="24"/>
                <w:szCs w:val="24"/>
              </w:rPr>
            </w:pPr>
            <w:r>
              <w:rPr>
                <w:rFonts w:ascii="Times New Roman" w:hAnsi="Times New Roman" w:cs="Times New Roman"/>
                <w:b/>
                <w:bCs/>
                <w:color w:val="2F5496"/>
                <w:sz w:val="24"/>
                <w:szCs w:val="24"/>
              </w:rPr>
              <w:t>David Derezotes</w:t>
            </w:r>
          </w:p>
          <w:p w:rsidR="00CA6CC7" w:rsidRPr="002E3913" w:rsidRDefault="00CA6CC7" w:rsidP="006D44E0">
            <w:pPr>
              <w:rPr>
                <w:rFonts w:ascii="Times New Roman" w:hAnsi="Times New Roman"/>
                <w:i/>
                <w:sz w:val="24"/>
              </w:rPr>
            </w:pPr>
          </w:p>
        </w:tc>
      </w:tr>
      <w:tr w:rsidR="00E57064" w:rsidRPr="002E3913" w:rsidTr="00E57064">
        <w:trPr>
          <w:trHeight w:val="1610"/>
        </w:trPr>
        <w:tc>
          <w:tcPr>
            <w:tcW w:w="9265" w:type="dxa"/>
          </w:tcPr>
          <w:p w:rsidR="001F08CF" w:rsidRDefault="001F08CF" w:rsidP="001F08CF">
            <w:r>
              <w:t xml:space="preserve">For the upcoming year the Subcommittee on EDI for RPT is planning to work on identifying and working with Faculty Affairs offices, the Senate </w:t>
            </w:r>
            <w:r w:rsidR="00EE7D0D">
              <w:t xml:space="preserve">Faculty Review Standards </w:t>
            </w:r>
            <w:r>
              <w:t xml:space="preserve">Committee, and the Academic Senate to better strategize the implementation of EDI-focused lens to the RPT process. With the support from these important players this subcommittee will: </w:t>
            </w:r>
          </w:p>
          <w:p w:rsidR="001F08CF" w:rsidRDefault="001F08CF" w:rsidP="001F08CF">
            <w:pPr>
              <w:pStyle w:val="ListParagraph"/>
              <w:numPr>
                <w:ilvl w:val="0"/>
                <w:numId w:val="7"/>
              </w:numPr>
            </w:pPr>
            <w:r>
              <w:t>Promote EQUITY at all levels of University Units</w:t>
            </w:r>
          </w:p>
          <w:p w:rsidR="001F08CF" w:rsidRDefault="001F08CF" w:rsidP="001F08CF">
            <w:pPr>
              <w:pStyle w:val="ListParagraph"/>
              <w:numPr>
                <w:ilvl w:val="0"/>
                <w:numId w:val="7"/>
              </w:numPr>
            </w:pPr>
            <w:r>
              <w:t>Ensure faculty DIVERSITY through recruitment and retention policies</w:t>
            </w:r>
          </w:p>
          <w:p w:rsidR="001F08CF" w:rsidRDefault="001F08CF" w:rsidP="001F08CF">
            <w:pPr>
              <w:pStyle w:val="ListParagraph"/>
              <w:numPr>
                <w:ilvl w:val="0"/>
                <w:numId w:val="7"/>
              </w:numPr>
            </w:pPr>
            <w:r>
              <w:t>CONSTRUCT equitable systems that promote liberation in scholarly activity, curriculum development and teaching strategies</w:t>
            </w:r>
          </w:p>
          <w:p w:rsidR="001F08CF" w:rsidRDefault="001F08CF" w:rsidP="001F08CF">
            <w:pPr>
              <w:pStyle w:val="ListParagraph"/>
              <w:numPr>
                <w:ilvl w:val="0"/>
                <w:numId w:val="7"/>
              </w:numPr>
            </w:pPr>
            <w:r>
              <w:t>Support INCLUSION through recruitment and retention policies</w:t>
            </w:r>
          </w:p>
          <w:p w:rsidR="001F08CF" w:rsidRDefault="001F08CF" w:rsidP="001F08CF">
            <w:r>
              <w:t xml:space="preserve">Moreover, the committee suggests </w:t>
            </w:r>
            <w:hyperlink r:id="rId12" w:history="1">
              <w:r w:rsidRPr="00A50931">
                <w:rPr>
                  <w:rStyle w:val="Hyperlink"/>
                </w:rPr>
                <w:t>RPT Information</w:t>
              </w:r>
            </w:hyperlink>
            <w:r>
              <w:t xml:space="preserve"> website be updated with the latest practices in EDI/RPT. Although there are areas that can implement a few suggestions, there might also be a need to provide a subset of supplementary documents and templates to better guide the process across the university. Together with the</w:t>
            </w:r>
            <w:r w:rsidR="00EE7D0D">
              <w:t xml:space="preserve"> </w:t>
            </w:r>
            <w:r w:rsidR="00EE7D0D">
              <w:t>Senate Faculty Review Standards Committee</w:t>
            </w:r>
            <w:r w:rsidR="00EE7D0D">
              <w:t xml:space="preserve"> </w:t>
            </w:r>
            <w:r>
              <w:t>, this work can be strategized and implemented by 2021-2022 AY.</w:t>
            </w:r>
          </w:p>
          <w:p w:rsidR="00E12E6C" w:rsidRPr="001F08CF" w:rsidRDefault="00E12E6C" w:rsidP="001F08CF">
            <w:pPr>
              <w:rPr>
                <w:rFonts w:ascii="Times New Roman" w:hAnsi="Times New Roman"/>
                <w:sz w:val="24"/>
              </w:rPr>
            </w:pPr>
          </w:p>
        </w:tc>
      </w:tr>
    </w:tbl>
    <w:p w:rsidR="00E57064" w:rsidRDefault="00E57064" w:rsidP="00E57064">
      <w:pPr>
        <w:rPr>
          <w:rFonts w:ascii="Times New Roman" w:hAnsi="Times New Roman"/>
          <w:sz w:val="24"/>
        </w:rPr>
      </w:pPr>
    </w:p>
    <w:p w:rsidR="00CA6CC7" w:rsidRPr="002E3913" w:rsidRDefault="00CC60C2" w:rsidP="00CA6CC7">
      <w:pPr>
        <w:rPr>
          <w:rFonts w:ascii="Times New Roman" w:hAnsi="Times New Roman"/>
          <w:b/>
          <w:sz w:val="24"/>
        </w:rPr>
      </w:pPr>
      <w:r>
        <w:rPr>
          <w:rFonts w:ascii="Times New Roman" w:hAnsi="Times New Roman"/>
          <w:b/>
          <w:sz w:val="24"/>
        </w:rPr>
        <w:t xml:space="preserve">Figure 4: </w:t>
      </w:r>
      <w:r w:rsidR="00CA6CC7">
        <w:rPr>
          <w:rFonts w:ascii="Times New Roman" w:hAnsi="Times New Roman"/>
          <w:b/>
          <w:sz w:val="24"/>
        </w:rPr>
        <w:t>Culture change</w:t>
      </w:r>
    </w:p>
    <w:tbl>
      <w:tblPr>
        <w:tblStyle w:val="TableGrid"/>
        <w:tblW w:w="0" w:type="auto"/>
        <w:tblLook w:val="04A0" w:firstRow="1" w:lastRow="0" w:firstColumn="1" w:lastColumn="0" w:noHBand="0" w:noVBand="1"/>
      </w:tblPr>
      <w:tblGrid>
        <w:gridCol w:w="9265"/>
      </w:tblGrid>
      <w:tr w:rsidR="00CA6CC7" w:rsidRPr="002E3913" w:rsidTr="00714ADC">
        <w:trPr>
          <w:trHeight w:val="1610"/>
        </w:trPr>
        <w:tc>
          <w:tcPr>
            <w:tcW w:w="9265" w:type="dxa"/>
          </w:tcPr>
          <w:p w:rsidR="00CA6CC7" w:rsidRDefault="00CA6CC7" w:rsidP="00CA6CC7">
            <w:pPr>
              <w:rPr>
                <w:rFonts w:ascii="Times New Roman" w:hAnsi="Times New Roman" w:cs="Times New Roman"/>
                <w:b/>
                <w:bCs/>
                <w:color w:val="2F5496"/>
                <w:sz w:val="24"/>
                <w:szCs w:val="24"/>
              </w:rPr>
            </w:pPr>
            <w:r>
              <w:rPr>
                <w:rFonts w:ascii="Times New Roman" w:hAnsi="Times New Roman" w:cs="Times New Roman"/>
                <w:b/>
                <w:bCs/>
                <w:i/>
                <w:iCs/>
                <w:color w:val="7030A0"/>
                <w:sz w:val="24"/>
                <w:szCs w:val="24"/>
              </w:rPr>
              <w:t>Culture chang</w:t>
            </w:r>
            <w:r w:rsidR="00F902E6">
              <w:rPr>
                <w:rFonts w:ascii="Times New Roman" w:hAnsi="Times New Roman" w:cs="Times New Roman"/>
                <w:b/>
                <w:bCs/>
                <w:i/>
                <w:iCs/>
                <w:color w:val="7030A0"/>
                <w:sz w:val="24"/>
                <w:szCs w:val="24"/>
              </w:rPr>
              <w:t>e subcommittee</w:t>
            </w:r>
          </w:p>
          <w:p w:rsidR="00CA6CC7" w:rsidRDefault="00CA6CC7" w:rsidP="00CA6CC7">
            <w:pPr>
              <w:rPr>
                <w:rFonts w:ascii="Times New Roman" w:hAnsi="Times New Roman" w:cs="Times New Roman"/>
                <w:b/>
                <w:bCs/>
                <w:color w:val="2F5496"/>
                <w:sz w:val="24"/>
                <w:szCs w:val="24"/>
              </w:rPr>
            </w:pPr>
            <w:r>
              <w:rPr>
                <w:rFonts w:ascii="Times New Roman" w:hAnsi="Times New Roman" w:cs="Times New Roman"/>
                <w:b/>
                <w:bCs/>
                <w:color w:val="2F5496"/>
                <w:sz w:val="24"/>
                <w:szCs w:val="24"/>
              </w:rPr>
              <w:t xml:space="preserve">Alex Steele                                                    </w:t>
            </w:r>
          </w:p>
          <w:p w:rsidR="00CA6CC7" w:rsidRDefault="00CA6CC7" w:rsidP="00CA6CC7">
            <w:pPr>
              <w:rPr>
                <w:rFonts w:ascii="Times New Roman" w:hAnsi="Times New Roman" w:cs="Times New Roman"/>
                <w:b/>
                <w:bCs/>
                <w:color w:val="2F5496"/>
                <w:sz w:val="24"/>
                <w:szCs w:val="24"/>
              </w:rPr>
            </w:pPr>
            <w:r>
              <w:rPr>
                <w:rFonts w:ascii="Times New Roman" w:hAnsi="Times New Roman" w:cs="Times New Roman"/>
                <w:b/>
                <w:bCs/>
                <w:color w:val="2F5496"/>
                <w:sz w:val="24"/>
                <w:szCs w:val="24"/>
              </w:rPr>
              <w:t>Myra Washington                                       </w:t>
            </w:r>
          </w:p>
          <w:p w:rsidR="00CA6CC7" w:rsidRDefault="00CA6CC7" w:rsidP="00CA6CC7">
            <w:pPr>
              <w:rPr>
                <w:rFonts w:ascii="Times New Roman" w:hAnsi="Times New Roman" w:cs="Times New Roman"/>
                <w:b/>
                <w:bCs/>
                <w:color w:val="2F5496"/>
                <w:sz w:val="24"/>
                <w:szCs w:val="24"/>
              </w:rPr>
            </w:pPr>
            <w:r>
              <w:rPr>
                <w:rFonts w:ascii="Times New Roman" w:hAnsi="Times New Roman" w:cs="Times New Roman"/>
                <w:b/>
                <w:bCs/>
                <w:color w:val="2F5496"/>
                <w:sz w:val="24"/>
                <w:szCs w:val="24"/>
              </w:rPr>
              <w:t>Kate Mattingly                                             </w:t>
            </w:r>
          </w:p>
          <w:p w:rsidR="00CA6CC7" w:rsidRDefault="00CA6CC7" w:rsidP="00CA6CC7">
            <w:pPr>
              <w:rPr>
                <w:rFonts w:ascii="Times New Roman" w:hAnsi="Times New Roman" w:cs="Times New Roman"/>
                <w:b/>
                <w:bCs/>
                <w:color w:val="2F5496"/>
                <w:sz w:val="24"/>
                <w:szCs w:val="24"/>
              </w:rPr>
            </w:pPr>
            <w:r>
              <w:rPr>
                <w:rFonts w:ascii="Times New Roman" w:hAnsi="Times New Roman" w:cs="Times New Roman"/>
                <w:b/>
                <w:bCs/>
                <w:color w:val="2F5496"/>
                <w:sz w:val="24"/>
                <w:szCs w:val="24"/>
              </w:rPr>
              <w:t xml:space="preserve">David Hawkins   (Chair)                </w:t>
            </w:r>
          </w:p>
          <w:p w:rsidR="00CA6CC7" w:rsidRDefault="00CA6CC7" w:rsidP="00CA6CC7">
            <w:pPr>
              <w:rPr>
                <w:rFonts w:ascii="Times New Roman" w:hAnsi="Times New Roman" w:cs="Times New Roman"/>
                <w:b/>
                <w:bCs/>
                <w:color w:val="2F5496"/>
                <w:sz w:val="24"/>
                <w:szCs w:val="24"/>
              </w:rPr>
            </w:pPr>
            <w:r>
              <w:rPr>
                <w:rFonts w:ascii="Times New Roman" w:hAnsi="Times New Roman" w:cs="Times New Roman"/>
                <w:b/>
                <w:bCs/>
                <w:color w:val="2F5496"/>
                <w:sz w:val="24"/>
                <w:szCs w:val="24"/>
              </w:rPr>
              <w:t>Talia Dixon   </w:t>
            </w:r>
          </w:p>
          <w:p w:rsidR="00CA6CC7" w:rsidRDefault="00CA6CC7" w:rsidP="00CA6CC7">
            <w:pPr>
              <w:rPr>
                <w:rFonts w:ascii="Times New Roman" w:hAnsi="Times New Roman" w:cs="Times New Roman"/>
                <w:b/>
                <w:bCs/>
                <w:color w:val="1F497D"/>
                <w:sz w:val="24"/>
                <w:szCs w:val="24"/>
              </w:rPr>
            </w:pPr>
            <w:r>
              <w:rPr>
                <w:rFonts w:ascii="Times New Roman" w:hAnsi="Times New Roman" w:cs="Times New Roman"/>
                <w:b/>
                <w:bCs/>
                <w:color w:val="2F5496"/>
                <w:sz w:val="24"/>
                <w:szCs w:val="24"/>
              </w:rPr>
              <w:t>Enfany Ng</w:t>
            </w:r>
            <w:r>
              <w:rPr>
                <w:rFonts w:ascii="Times New Roman" w:hAnsi="Times New Roman" w:cs="Times New Roman"/>
                <w:b/>
                <w:bCs/>
                <w:color w:val="1F497D"/>
                <w:sz w:val="24"/>
                <w:szCs w:val="24"/>
              </w:rPr>
              <w:t>o</w:t>
            </w:r>
          </w:p>
          <w:p w:rsidR="00CA6CC7" w:rsidRDefault="00CA6CC7" w:rsidP="00CA6CC7">
            <w:pPr>
              <w:rPr>
                <w:rFonts w:ascii="Times New Roman" w:hAnsi="Times New Roman" w:cs="Times New Roman"/>
                <w:b/>
                <w:bCs/>
                <w:color w:val="1F497D"/>
                <w:sz w:val="24"/>
                <w:szCs w:val="24"/>
              </w:rPr>
            </w:pPr>
            <w:r>
              <w:rPr>
                <w:rFonts w:ascii="Times New Roman" w:hAnsi="Times New Roman" w:cs="Times New Roman"/>
                <w:b/>
                <w:bCs/>
                <w:color w:val="1F497D"/>
                <w:sz w:val="24"/>
                <w:szCs w:val="24"/>
              </w:rPr>
              <w:t>Michael Gills</w:t>
            </w:r>
          </w:p>
          <w:p w:rsidR="00CA6CC7" w:rsidRDefault="00CA6CC7" w:rsidP="00CA6CC7">
            <w:pPr>
              <w:rPr>
                <w:rFonts w:ascii="Times New Roman" w:hAnsi="Times New Roman" w:cs="Times New Roman"/>
                <w:b/>
                <w:bCs/>
                <w:color w:val="2F5496"/>
                <w:sz w:val="24"/>
                <w:szCs w:val="24"/>
              </w:rPr>
            </w:pPr>
            <w:r>
              <w:rPr>
                <w:rFonts w:ascii="Times New Roman" w:hAnsi="Times New Roman" w:cs="Times New Roman"/>
                <w:b/>
                <w:bCs/>
                <w:color w:val="1F497D"/>
                <w:sz w:val="24"/>
                <w:szCs w:val="24"/>
              </w:rPr>
              <w:lastRenderedPageBreak/>
              <w:t>Talia Dixon</w:t>
            </w:r>
          </w:p>
          <w:p w:rsidR="00CA6CC7" w:rsidRPr="002E3913" w:rsidRDefault="00CA6CC7" w:rsidP="002A5FC4">
            <w:pPr>
              <w:rPr>
                <w:rFonts w:ascii="Times New Roman" w:eastAsia="Calibri" w:hAnsi="Times New Roman" w:cs="Calibri"/>
                <w:i/>
                <w:color w:val="000000"/>
                <w:sz w:val="24"/>
                <w:szCs w:val="24"/>
              </w:rPr>
            </w:pPr>
            <w:r>
              <w:rPr>
                <w:rFonts w:ascii="Times New Roman" w:hAnsi="Times New Roman" w:cs="Times New Roman"/>
                <w:b/>
                <w:bCs/>
                <w:color w:val="2F5496"/>
                <w:sz w:val="24"/>
                <w:szCs w:val="24"/>
              </w:rPr>
              <w:t>Kimberly Garcia</w:t>
            </w:r>
          </w:p>
        </w:tc>
      </w:tr>
      <w:tr w:rsidR="00CA6CC7" w:rsidRPr="002E3913" w:rsidTr="00714ADC">
        <w:trPr>
          <w:trHeight w:val="1610"/>
        </w:trPr>
        <w:tc>
          <w:tcPr>
            <w:tcW w:w="9265" w:type="dxa"/>
          </w:tcPr>
          <w:p w:rsidR="00AE07F7" w:rsidRDefault="00AE07F7" w:rsidP="00AE07F7">
            <w:pPr>
              <w:spacing w:before="100" w:beforeAutospacing="1" w:after="100" w:afterAutospacing="1"/>
            </w:pPr>
            <w:r>
              <w:lastRenderedPageBreak/>
              <w:t>For the upcoming year the Subcommittee on Culture Change is planning to work on identifying and working with a small set of University units (5-7) on piloting the use of the Personal Diversity Statement (PDS) among faculty. We will support a handful of colleges, departments and academic programs as they begin orienting their own faculty on how to… 1. prepare their own diversity statement 2. integrate the PDS as part of their professional development plan 3. and prepare for continued growth In advance of the pilot program, participating cohorts will engage in series of small, informal workshops to help orient faculty to the PDS.</w:t>
            </w:r>
          </w:p>
          <w:p w:rsidR="00AE07F7" w:rsidRDefault="00AE07F7" w:rsidP="00AE07F7">
            <w:pPr>
              <w:spacing w:before="100" w:beforeAutospacing="1" w:after="100" w:afterAutospacing="1"/>
            </w:pPr>
            <w:r>
              <w:t>This might include discussions regarding what activities, materials, and information faculty typically include in their Diversity Statements (Chavous, National Cntr for Institutional Diversity), a review of Diversity Statement examples (UCSD physical science faculty), or the approaches used at other schools (Vanderbilt, Cornell). Discussions can also occur around common tips and tools (UNC Writing Center), style guides, or recommendations and procedures for candidates applying at other institutions (UC Berkley, UC Davis and UPenn).</w:t>
            </w:r>
          </w:p>
          <w:p w:rsidR="00CA6CC7" w:rsidRPr="002E3913" w:rsidRDefault="00AE07F7" w:rsidP="00AE07F7">
            <w:pPr>
              <w:spacing w:before="100" w:beforeAutospacing="1" w:after="100" w:afterAutospacing="1"/>
              <w:rPr>
                <w:rFonts w:ascii="Times New Roman" w:hAnsi="Times New Roman"/>
                <w:sz w:val="24"/>
              </w:rPr>
            </w:pPr>
            <w:r>
              <w:t>The aim of these preliminary discussions/workshops will be to encourage faculty to think about how they approach diversity in their teaching, research, and community practices—and then consider how they might continue cultivating the work and present it to others (in the PDS). A few additional goals may include promoting greater discussion around department practices in pursuit of EDI, alleviating faculty concerns and confusion over how the documents will be used, and exploring opportunities for peer support, mentorship, and collaboration. Emphasis will be on aligning individual efforts with the University of Utah’s institutional objectives.</w:t>
            </w:r>
          </w:p>
        </w:tc>
      </w:tr>
    </w:tbl>
    <w:p w:rsidR="00CA6CC7" w:rsidRPr="002E3913" w:rsidRDefault="00CA6CC7" w:rsidP="00CA6CC7">
      <w:pPr>
        <w:rPr>
          <w:rFonts w:ascii="Times New Roman" w:hAnsi="Times New Roman"/>
          <w:sz w:val="24"/>
        </w:rPr>
      </w:pPr>
    </w:p>
    <w:p w:rsidR="00CA6CC7" w:rsidRDefault="00CA6CC7" w:rsidP="00E57064">
      <w:pPr>
        <w:rPr>
          <w:rFonts w:ascii="Times New Roman" w:hAnsi="Times New Roman"/>
          <w:sz w:val="24"/>
        </w:rPr>
      </w:pPr>
    </w:p>
    <w:p w:rsidR="00CA6CC7" w:rsidRPr="002E3913" w:rsidRDefault="00CC60C2" w:rsidP="00CA6CC7">
      <w:pPr>
        <w:rPr>
          <w:rFonts w:ascii="Times New Roman" w:hAnsi="Times New Roman"/>
          <w:b/>
          <w:sz w:val="24"/>
        </w:rPr>
      </w:pPr>
      <w:r>
        <w:rPr>
          <w:rFonts w:ascii="Times New Roman" w:hAnsi="Times New Roman"/>
          <w:b/>
          <w:sz w:val="24"/>
        </w:rPr>
        <w:t>Figure 5: Research and clinical care mission</w:t>
      </w:r>
    </w:p>
    <w:tbl>
      <w:tblPr>
        <w:tblStyle w:val="TableGrid"/>
        <w:tblW w:w="0" w:type="auto"/>
        <w:tblLook w:val="04A0" w:firstRow="1" w:lastRow="0" w:firstColumn="1" w:lastColumn="0" w:noHBand="0" w:noVBand="1"/>
      </w:tblPr>
      <w:tblGrid>
        <w:gridCol w:w="9265"/>
      </w:tblGrid>
      <w:tr w:rsidR="00CA6CC7" w:rsidRPr="002E3913" w:rsidTr="00714ADC">
        <w:trPr>
          <w:trHeight w:val="1610"/>
        </w:trPr>
        <w:tc>
          <w:tcPr>
            <w:tcW w:w="9265" w:type="dxa"/>
          </w:tcPr>
          <w:p w:rsidR="00CA6CC7" w:rsidRDefault="00CA6CC7" w:rsidP="00CA6CC7">
            <w:pPr>
              <w:rPr>
                <w:rFonts w:ascii="Times New Roman" w:hAnsi="Times New Roman" w:cs="Times New Roman"/>
                <w:b/>
                <w:bCs/>
                <w:sz w:val="24"/>
                <w:szCs w:val="24"/>
              </w:rPr>
            </w:pPr>
            <w:r>
              <w:rPr>
                <w:rFonts w:ascii="Times New Roman" w:hAnsi="Times New Roman" w:cs="Times New Roman"/>
                <w:b/>
                <w:bCs/>
                <w:i/>
                <w:iCs/>
                <w:color w:val="7030A0"/>
                <w:sz w:val="24"/>
                <w:szCs w:val="24"/>
              </w:rPr>
              <w:t>Research and clinical care missio</w:t>
            </w:r>
            <w:r w:rsidR="00F902E6">
              <w:rPr>
                <w:rFonts w:ascii="Times New Roman" w:hAnsi="Times New Roman" w:cs="Times New Roman"/>
                <w:b/>
                <w:bCs/>
                <w:i/>
                <w:iCs/>
                <w:color w:val="7030A0"/>
                <w:sz w:val="24"/>
                <w:szCs w:val="24"/>
              </w:rPr>
              <w:t>n subcommittee</w:t>
            </w:r>
          </w:p>
          <w:p w:rsidR="00CA6CC7" w:rsidRDefault="00CA6CC7" w:rsidP="00CA6CC7">
            <w:pPr>
              <w:rPr>
                <w:rFonts w:ascii="Times New Roman" w:hAnsi="Times New Roman" w:cs="Times New Roman"/>
                <w:b/>
                <w:bCs/>
                <w:color w:val="2F5496"/>
                <w:sz w:val="24"/>
                <w:szCs w:val="24"/>
              </w:rPr>
            </w:pPr>
            <w:r>
              <w:rPr>
                <w:rFonts w:ascii="Times New Roman" w:hAnsi="Times New Roman" w:cs="Times New Roman"/>
                <w:b/>
                <w:bCs/>
                <w:color w:val="2F5496"/>
                <w:sz w:val="24"/>
                <w:szCs w:val="24"/>
              </w:rPr>
              <w:t xml:space="preserve">Marcia Cook de Wolfe   (co-Chair)   </w:t>
            </w:r>
          </w:p>
          <w:p w:rsidR="00CA6CC7" w:rsidRDefault="00CA6CC7" w:rsidP="00CA6CC7">
            <w:pPr>
              <w:rPr>
                <w:rFonts w:ascii="Times New Roman" w:hAnsi="Times New Roman" w:cs="Times New Roman"/>
                <w:b/>
                <w:bCs/>
                <w:color w:val="2F5496"/>
                <w:sz w:val="24"/>
                <w:szCs w:val="24"/>
              </w:rPr>
            </w:pPr>
            <w:r>
              <w:rPr>
                <w:rFonts w:ascii="Times New Roman" w:hAnsi="Times New Roman" w:cs="Times New Roman"/>
                <w:b/>
                <w:bCs/>
                <w:color w:val="2F5496"/>
                <w:sz w:val="24"/>
                <w:szCs w:val="24"/>
              </w:rPr>
              <w:t>Teshia Koffi   (</w:t>
            </w:r>
            <w:r w:rsidR="00347D2C">
              <w:rPr>
                <w:rFonts w:ascii="Times New Roman" w:hAnsi="Times New Roman" w:cs="Times New Roman"/>
                <w:b/>
                <w:bCs/>
                <w:color w:val="2F5496"/>
                <w:sz w:val="24"/>
                <w:szCs w:val="24"/>
              </w:rPr>
              <w:t xml:space="preserve">community </w:t>
            </w:r>
            <w:r>
              <w:rPr>
                <w:rFonts w:ascii="Times New Roman" w:hAnsi="Times New Roman" w:cs="Times New Roman"/>
                <w:b/>
                <w:bCs/>
                <w:color w:val="2F5496"/>
                <w:sz w:val="24"/>
                <w:szCs w:val="24"/>
              </w:rPr>
              <w:t>co-Chair)      </w:t>
            </w:r>
          </w:p>
          <w:p w:rsidR="00CA6CC7" w:rsidRDefault="00CA6CC7" w:rsidP="00CA6CC7">
            <w:pPr>
              <w:rPr>
                <w:rFonts w:ascii="Times New Roman" w:hAnsi="Times New Roman" w:cs="Times New Roman"/>
                <w:b/>
                <w:bCs/>
                <w:color w:val="1F497D"/>
                <w:sz w:val="24"/>
                <w:szCs w:val="24"/>
              </w:rPr>
            </w:pPr>
            <w:r>
              <w:rPr>
                <w:rFonts w:ascii="Times New Roman" w:hAnsi="Times New Roman" w:cs="Times New Roman"/>
                <w:b/>
                <w:bCs/>
                <w:color w:val="2F5496"/>
                <w:sz w:val="24"/>
                <w:szCs w:val="24"/>
              </w:rPr>
              <w:t>Juan Gallegos-Oroz</w:t>
            </w:r>
            <w:r>
              <w:rPr>
                <w:rFonts w:ascii="Times New Roman" w:hAnsi="Times New Roman" w:cs="Times New Roman"/>
                <w:b/>
                <w:bCs/>
                <w:color w:val="1F497D"/>
                <w:sz w:val="24"/>
                <w:szCs w:val="24"/>
              </w:rPr>
              <w:t>co</w:t>
            </w:r>
          </w:p>
          <w:p w:rsidR="00CA6CC7" w:rsidRDefault="00CA6CC7" w:rsidP="00CA6CC7">
            <w:pPr>
              <w:rPr>
                <w:rFonts w:ascii="Times New Roman" w:hAnsi="Times New Roman" w:cs="Times New Roman"/>
                <w:b/>
                <w:bCs/>
                <w:color w:val="1F497D"/>
                <w:sz w:val="24"/>
                <w:szCs w:val="24"/>
              </w:rPr>
            </w:pPr>
            <w:r>
              <w:rPr>
                <w:rFonts w:ascii="Times New Roman" w:hAnsi="Times New Roman" w:cs="Times New Roman"/>
                <w:b/>
                <w:bCs/>
                <w:color w:val="1F497D"/>
                <w:sz w:val="24"/>
                <w:szCs w:val="24"/>
              </w:rPr>
              <w:t>Melissa Cheng</w:t>
            </w:r>
          </w:p>
          <w:p w:rsidR="00CA6CC7" w:rsidRDefault="00CA6CC7" w:rsidP="00CA6CC7">
            <w:pPr>
              <w:rPr>
                <w:rFonts w:ascii="Times New Roman" w:hAnsi="Times New Roman" w:cs="Times New Roman"/>
                <w:b/>
                <w:bCs/>
                <w:color w:val="1F497D"/>
                <w:sz w:val="24"/>
                <w:szCs w:val="24"/>
              </w:rPr>
            </w:pPr>
            <w:r>
              <w:rPr>
                <w:rFonts w:ascii="Times New Roman" w:hAnsi="Times New Roman" w:cs="Times New Roman"/>
                <w:b/>
                <w:bCs/>
                <w:color w:val="1F497D"/>
                <w:sz w:val="24"/>
                <w:szCs w:val="24"/>
              </w:rPr>
              <w:t>Dennis Wei</w:t>
            </w:r>
          </w:p>
          <w:p w:rsidR="00CA6CC7" w:rsidRDefault="00CA6CC7" w:rsidP="00CA6CC7">
            <w:pPr>
              <w:rPr>
                <w:rFonts w:ascii="Times New Roman" w:hAnsi="Times New Roman" w:cs="Times New Roman"/>
                <w:b/>
                <w:bCs/>
                <w:color w:val="2F5496"/>
                <w:sz w:val="24"/>
                <w:szCs w:val="24"/>
              </w:rPr>
            </w:pPr>
            <w:r>
              <w:rPr>
                <w:rFonts w:ascii="Times New Roman" w:hAnsi="Times New Roman" w:cs="Times New Roman"/>
                <w:b/>
                <w:bCs/>
                <w:color w:val="2F5496"/>
                <w:sz w:val="24"/>
                <w:szCs w:val="24"/>
              </w:rPr>
              <w:t>Randy Dryer </w:t>
            </w:r>
          </w:p>
          <w:p w:rsidR="00CA6CC7" w:rsidRDefault="00CA6CC7" w:rsidP="00CA6CC7">
            <w:pPr>
              <w:rPr>
                <w:rFonts w:ascii="Times New Roman" w:hAnsi="Times New Roman" w:cs="Times New Roman"/>
                <w:b/>
                <w:bCs/>
                <w:color w:val="2F5496"/>
                <w:sz w:val="24"/>
                <w:szCs w:val="24"/>
              </w:rPr>
            </w:pPr>
            <w:r>
              <w:rPr>
                <w:rFonts w:ascii="Times New Roman" w:hAnsi="Times New Roman" w:cs="Times New Roman"/>
                <w:b/>
                <w:bCs/>
                <w:color w:val="2F5496"/>
                <w:sz w:val="24"/>
                <w:szCs w:val="24"/>
              </w:rPr>
              <w:t xml:space="preserve">Julio Cesar Facelli </w:t>
            </w:r>
          </w:p>
          <w:p w:rsidR="00CA6CC7" w:rsidRPr="002E3913" w:rsidRDefault="00CA6CC7" w:rsidP="00714ADC">
            <w:pPr>
              <w:spacing w:before="100" w:beforeAutospacing="1" w:after="100" w:afterAutospacing="1"/>
              <w:rPr>
                <w:rFonts w:ascii="Times New Roman" w:hAnsi="Times New Roman"/>
                <w:sz w:val="24"/>
              </w:rPr>
            </w:pPr>
          </w:p>
        </w:tc>
      </w:tr>
      <w:tr w:rsidR="00CA6CC7" w:rsidRPr="002E3913" w:rsidTr="002A5FC4">
        <w:trPr>
          <w:trHeight w:val="962"/>
        </w:trPr>
        <w:tc>
          <w:tcPr>
            <w:tcW w:w="9265" w:type="dxa"/>
          </w:tcPr>
          <w:p w:rsidR="00CA6CC7" w:rsidRPr="00AE07F7" w:rsidRDefault="00347D2C" w:rsidP="00CA6CC7">
            <w:pPr>
              <w:rPr>
                <w:rFonts w:ascii="Times New Roman" w:hAnsi="Times New Roman" w:cs="Times New Roman"/>
                <w:b/>
                <w:bCs/>
                <w:iCs/>
                <w:color w:val="2F5496" w:themeColor="accent5" w:themeShade="BF"/>
                <w:sz w:val="24"/>
                <w:szCs w:val="24"/>
              </w:rPr>
            </w:pPr>
            <w:r>
              <w:rPr>
                <w:rFonts w:ascii="Times New Roman" w:hAnsi="Times New Roman" w:cs="Times New Roman"/>
                <w:b/>
                <w:bCs/>
                <w:iCs/>
                <w:color w:val="2F5496" w:themeColor="accent5" w:themeShade="BF"/>
                <w:sz w:val="24"/>
                <w:szCs w:val="24"/>
              </w:rPr>
              <w:t>(</w:t>
            </w:r>
            <w:r w:rsidR="00AE07F7" w:rsidRPr="00AE07F7">
              <w:rPr>
                <w:rFonts w:ascii="Times New Roman" w:hAnsi="Times New Roman" w:cs="Times New Roman"/>
                <w:b/>
                <w:bCs/>
                <w:iCs/>
                <w:color w:val="2F5496" w:themeColor="accent5" w:themeShade="BF"/>
                <w:sz w:val="24"/>
                <w:szCs w:val="24"/>
              </w:rPr>
              <w:t>This subcommittee is expected to continue working on these issues next academic year</w:t>
            </w:r>
            <w:r>
              <w:rPr>
                <w:rFonts w:ascii="Times New Roman" w:hAnsi="Times New Roman" w:cs="Times New Roman"/>
                <w:b/>
                <w:bCs/>
                <w:iCs/>
                <w:color w:val="2F5496" w:themeColor="accent5" w:themeShade="BF"/>
                <w:sz w:val="24"/>
                <w:szCs w:val="24"/>
              </w:rPr>
              <w:t>)</w:t>
            </w:r>
            <w:r w:rsidR="00AE07F7" w:rsidRPr="00AE07F7">
              <w:rPr>
                <w:rFonts w:ascii="Times New Roman" w:hAnsi="Times New Roman" w:cs="Times New Roman"/>
                <w:b/>
                <w:bCs/>
                <w:iCs/>
                <w:color w:val="2F5496" w:themeColor="accent5" w:themeShade="BF"/>
                <w:sz w:val="24"/>
                <w:szCs w:val="24"/>
              </w:rPr>
              <w:t>.</w:t>
            </w:r>
          </w:p>
        </w:tc>
      </w:tr>
    </w:tbl>
    <w:p w:rsidR="00CA6CC7" w:rsidRDefault="00CA6CC7" w:rsidP="00CA6CC7">
      <w:pPr>
        <w:rPr>
          <w:rFonts w:ascii="Times New Roman" w:hAnsi="Times New Roman"/>
          <w:sz w:val="24"/>
        </w:rPr>
      </w:pPr>
    </w:p>
    <w:p w:rsidR="00980C42" w:rsidRDefault="00980C42" w:rsidP="00CA6CC7">
      <w:pPr>
        <w:rPr>
          <w:rFonts w:ascii="Times New Roman" w:hAnsi="Times New Roman"/>
          <w:sz w:val="24"/>
        </w:rPr>
      </w:pPr>
    </w:p>
    <w:p w:rsidR="002A5FC4" w:rsidRDefault="002A5FC4" w:rsidP="00CA6CC7">
      <w:pPr>
        <w:rPr>
          <w:rFonts w:ascii="Times New Roman" w:hAnsi="Times New Roman"/>
          <w:sz w:val="24"/>
        </w:rPr>
      </w:pPr>
    </w:p>
    <w:p w:rsidR="00980C42" w:rsidRPr="007433C0" w:rsidRDefault="00980C42" w:rsidP="00CA6CC7">
      <w:pPr>
        <w:rPr>
          <w:rFonts w:ascii="Times New Roman" w:hAnsi="Times New Roman"/>
          <w:b/>
          <w:color w:val="833C0B" w:themeColor="accent2" w:themeShade="80"/>
          <w:sz w:val="36"/>
        </w:rPr>
      </w:pPr>
      <w:r w:rsidRPr="007433C0">
        <w:rPr>
          <w:rFonts w:ascii="Times New Roman" w:hAnsi="Times New Roman"/>
          <w:b/>
          <w:color w:val="833C0B" w:themeColor="accent2" w:themeShade="80"/>
          <w:sz w:val="36"/>
        </w:rPr>
        <w:t xml:space="preserve">Request to present subcommittee recommendations to Senate </w:t>
      </w:r>
    </w:p>
    <w:p w:rsidR="00980C42" w:rsidRDefault="00980C42" w:rsidP="00980C42">
      <w:pPr>
        <w:rPr>
          <w:rFonts w:ascii="Times New Roman" w:hAnsi="Times New Roman"/>
          <w:b/>
          <w:sz w:val="24"/>
        </w:rPr>
      </w:pPr>
      <w:r>
        <w:rPr>
          <w:rFonts w:ascii="Times New Roman" w:hAnsi="Times New Roman"/>
          <w:b/>
          <w:sz w:val="24"/>
        </w:rPr>
        <w:t>The SAC-EDI would like to present recommendations to the full senate on Monday March 29</w:t>
      </w:r>
      <w:r w:rsidRPr="00980C42">
        <w:rPr>
          <w:rFonts w:ascii="Times New Roman" w:hAnsi="Times New Roman"/>
          <w:b/>
          <w:sz w:val="24"/>
          <w:vertAlign w:val="superscript"/>
        </w:rPr>
        <w:t>th</w:t>
      </w:r>
      <w:r>
        <w:rPr>
          <w:rFonts w:ascii="Times New Roman" w:hAnsi="Times New Roman"/>
          <w:b/>
          <w:sz w:val="24"/>
        </w:rPr>
        <w:t xml:space="preserve">. </w:t>
      </w:r>
    </w:p>
    <w:p w:rsidR="00980C42" w:rsidRDefault="00980C42" w:rsidP="00980C42">
      <w:pPr>
        <w:rPr>
          <w:rFonts w:ascii="Times New Roman" w:hAnsi="Times New Roman"/>
          <w:b/>
          <w:sz w:val="24"/>
        </w:rPr>
      </w:pPr>
      <w:r>
        <w:rPr>
          <w:rFonts w:ascii="Times New Roman" w:hAnsi="Times New Roman"/>
          <w:b/>
          <w:sz w:val="24"/>
        </w:rPr>
        <w:t>These recommendatio</w:t>
      </w:r>
      <w:r w:rsidR="007433C0">
        <w:rPr>
          <w:rFonts w:ascii="Times New Roman" w:hAnsi="Times New Roman"/>
          <w:b/>
          <w:sz w:val="24"/>
        </w:rPr>
        <w:t>n</w:t>
      </w:r>
      <w:r>
        <w:rPr>
          <w:rFonts w:ascii="Times New Roman" w:hAnsi="Times New Roman"/>
          <w:b/>
          <w:sz w:val="24"/>
        </w:rPr>
        <w:t>s will be presented by members of the two subcommittees that are ready.</w:t>
      </w:r>
    </w:p>
    <w:p w:rsidR="007433C0" w:rsidRDefault="007433C0" w:rsidP="00980C42">
      <w:pPr>
        <w:rPr>
          <w:rFonts w:ascii="Times New Roman" w:hAnsi="Times New Roman"/>
          <w:b/>
          <w:sz w:val="24"/>
        </w:rPr>
      </w:pPr>
    </w:p>
    <w:p w:rsidR="007433C0" w:rsidRDefault="007433C0" w:rsidP="007433C0">
      <w:pPr>
        <w:rPr>
          <w:rFonts w:ascii="Times New Roman" w:hAnsi="Times New Roman" w:cs="Times New Roman"/>
          <w:b/>
          <w:bCs/>
          <w:sz w:val="24"/>
          <w:szCs w:val="24"/>
        </w:rPr>
      </w:pPr>
    </w:p>
    <w:p w:rsidR="007433C0" w:rsidRDefault="007433C0" w:rsidP="007433C0">
      <w:pPr>
        <w:rPr>
          <w:rFonts w:ascii="Times New Roman" w:hAnsi="Times New Roman" w:cs="Times New Roman"/>
          <w:b/>
          <w:bCs/>
          <w:sz w:val="24"/>
          <w:szCs w:val="24"/>
        </w:rPr>
      </w:pPr>
      <w:r>
        <w:rPr>
          <w:rFonts w:ascii="Times New Roman" w:hAnsi="Times New Roman" w:cs="Times New Roman"/>
          <w:b/>
          <w:bCs/>
          <w:sz w:val="24"/>
          <w:szCs w:val="24"/>
        </w:rPr>
        <w:t>Figure 6</w:t>
      </w:r>
    </w:p>
    <w:tbl>
      <w:tblPr>
        <w:tblW w:w="5120" w:type="dxa"/>
        <w:tblCellMar>
          <w:left w:w="0" w:type="dxa"/>
          <w:right w:w="0" w:type="dxa"/>
        </w:tblCellMar>
        <w:tblLook w:val="04A0" w:firstRow="1" w:lastRow="0" w:firstColumn="1" w:lastColumn="0" w:noHBand="0" w:noVBand="1"/>
      </w:tblPr>
      <w:tblGrid>
        <w:gridCol w:w="2230"/>
        <w:gridCol w:w="2890"/>
      </w:tblGrid>
      <w:tr w:rsidR="007433C0" w:rsidTr="00425DD6">
        <w:trPr>
          <w:trHeight w:val="1015"/>
        </w:trPr>
        <w:tc>
          <w:tcPr>
            <w:tcW w:w="2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33C0" w:rsidRDefault="007433C0" w:rsidP="007433C0">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SUBCOMMITTEE </w:t>
            </w:r>
          </w:p>
        </w:tc>
        <w:tc>
          <w:tcPr>
            <w:tcW w:w="2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33C0" w:rsidRDefault="007433C0" w:rsidP="002A5FC4">
            <w:pPr>
              <w:spacing w:line="252" w:lineRule="auto"/>
              <w:rPr>
                <w:rFonts w:ascii="Times New Roman" w:hAnsi="Times New Roman" w:cs="Times New Roman"/>
                <w:b/>
                <w:bCs/>
                <w:sz w:val="24"/>
                <w:szCs w:val="24"/>
              </w:rPr>
            </w:pPr>
            <w:r>
              <w:rPr>
                <w:rFonts w:ascii="Times New Roman" w:hAnsi="Times New Roman" w:cs="Times New Roman"/>
                <w:b/>
                <w:bCs/>
                <w:sz w:val="24"/>
                <w:szCs w:val="24"/>
              </w:rPr>
              <w:t>RECOMMENDATION</w:t>
            </w:r>
            <w:r w:rsidR="002A5FC4">
              <w:rPr>
                <w:rFonts w:ascii="Times New Roman" w:hAnsi="Times New Roman" w:cs="Times New Roman"/>
                <w:b/>
                <w:bCs/>
                <w:sz w:val="24"/>
                <w:szCs w:val="24"/>
              </w:rPr>
              <w:t>S TO SENATE</w:t>
            </w:r>
          </w:p>
        </w:tc>
      </w:tr>
      <w:tr w:rsidR="007433C0" w:rsidTr="00425DD6">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33C0" w:rsidRDefault="007433C0" w:rsidP="00425DD6">
            <w:pPr>
              <w:spacing w:line="252" w:lineRule="auto"/>
              <w:rPr>
                <w:rFonts w:ascii="Times New Roman" w:hAnsi="Times New Roman" w:cs="Times New Roman"/>
                <w:b/>
                <w:bCs/>
                <w:i/>
                <w:iCs/>
                <w:color w:val="7030A0"/>
                <w:sz w:val="24"/>
                <w:szCs w:val="24"/>
              </w:rPr>
            </w:pPr>
            <w:r>
              <w:rPr>
                <w:rFonts w:ascii="Times New Roman" w:hAnsi="Times New Roman" w:cs="Times New Roman"/>
                <w:b/>
                <w:bCs/>
                <w:i/>
                <w:iCs/>
                <w:color w:val="7030A0"/>
                <w:sz w:val="24"/>
                <w:szCs w:val="24"/>
              </w:rPr>
              <w:t>Diversity statement</w:t>
            </w:r>
          </w:p>
        </w:tc>
        <w:tc>
          <w:tcPr>
            <w:tcW w:w="2890" w:type="dxa"/>
            <w:tcBorders>
              <w:top w:val="nil"/>
              <w:left w:val="nil"/>
              <w:bottom w:val="single" w:sz="8" w:space="0" w:color="auto"/>
              <w:right w:val="single" w:sz="8" w:space="0" w:color="auto"/>
            </w:tcBorders>
            <w:tcMar>
              <w:top w:w="0" w:type="dxa"/>
              <w:left w:w="108" w:type="dxa"/>
              <w:bottom w:w="0" w:type="dxa"/>
              <w:right w:w="108" w:type="dxa"/>
            </w:tcMar>
          </w:tcPr>
          <w:p w:rsidR="007433C0" w:rsidRDefault="002A5FC4" w:rsidP="002A5FC4">
            <w:pPr>
              <w:spacing w:line="252" w:lineRule="auto"/>
              <w:rPr>
                <w:rFonts w:ascii="Times New Roman" w:hAnsi="Times New Roman" w:cs="Times New Roman"/>
                <w:b/>
                <w:bCs/>
                <w:color w:val="70AD47"/>
                <w:sz w:val="24"/>
                <w:szCs w:val="24"/>
              </w:rPr>
            </w:pPr>
            <w:r>
              <w:rPr>
                <w:rFonts w:ascii="Times New Roman" w:hAnsi="Times New Roman" w:cs="Times New Roman"/>
                <w:b/>
                <w:bCs/>
                <w:color w:val="70AD47"/>
                <w:sz w:val="24"/>
                <w:szCs w:val="24"/>
              </w:rPr>
              <w:t>Recommendations to be presented on March 29</w:t>
            </w:r>
            <w:r w:rsidRPr="002A5FC4">
              <w:rPr>
                <w:rFonts w:ascii="Times New Roman" w:hAnsi="Times New Roman" w:cs="Times New Roman"/>
                <w:b/>
                <w:bCs/>
                <w:color w:val="70AD47"/>
                <w:sz w:val="24"/>
                <w:szCs w:val="24"/>
                <w:vertAlign w:val="superscript"/>
              </w:rPr>
              <w:t>th</w:t>
            </w:r>
            <w:r>
              <w:rPr>
                <w:rFonts w:ascii="Times New Roman" w:hAnsi="Times New Roman" w:cs="Times New Roman"/>
                <w:b/>
                <w:bCs/>
                <w:color w:val="70AD47"/>
                <w:sz w:val="24"/>
                <w:szCs w:val="24"/>
              </w:rPr>
              <w:t xml:space="preserve">  </w:t>
            </w:r>
          </w:p>
        </w:tc>
      </w:tr>
      <w:tr w:rsidR="007433C0" w:rsidTr="00425DD6">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33C0" w:rsidRDefault="007433C0" w:rsidP="00425DD6">
            <w:pPr>
              <w:spacing w:line="252" w:lineRule="auto"/>
              <w:rPr>
                <w:rFonts w:ascii="Times New Roman" w:hAnsi="Times New Roman" w:cs="Times New Roman"/>
                <w:b/>
                <w:bCs/>
                <w:i/>
                <w:iCs/>
                <w:color w:val="7030A0"/>
                <w:sz w:val="24"/>
                <w:szCs w:val="24"/>
              </w:rPr>
            </w:pPr>
            <w:r>
              <w:rPr>
                <w:rFonts w:ascii="Times New Roman" w:hAnsi="Times New Roman" w:cs="Times New Roman"/>
                <w:b/>
                <w:bCs/>
                <w:i/>
                <w:iCs/>
                <w:color w:val="7030A0"/>
                <w:sz w:val="24"/>
                <w:szCs w:val="24"/>
              </w:rPr>
              <w:t>Culture change</w:t>
            </w:r>
          </w:p>
        </w:tc>
        <w:tc>
          <w:tcPr>
            <w:tcW w:w="2890" w:type="dxa"/>
            <w:tcBorders>
              <w:top w:val="nil"/>
              <w:left w:val="nil"/>
              <w:bottom w:val="single" w:sz="8" w:space="0" w:color="auto"/>
              <w:right w:val="single" w:sz="8" w:space="0" w:color="auto"/>
            </w:tcBorders>
            <w:tcMar>
              <w:top w:w="0" w:type="dxa"/>
              <w:left w:w="108" w:type="dxa"/>
              <w:bottom w:w="0" w:type="dxa"/>
              <w:right w:w="108" w:type="dxa"/>
            </w:tcMar>
          </w:tcPr>
          <w:p w:rsidR="007433C0" w:rsidRDefault="002A5FC4" w:rsidP="00425DD6">
            <w:pPr>
              <w:spacing w:line="252" w:lineRule="auto"/>
              <w:rPr>
                <w:rFonts w:ascii="Times New Roman" w:hAnsi="Times New Roman" w:cs="Times New Roman"/>
                <w:b/>
                <w:bCs/>
                <w:color w:val="70AD47"/>
                <w:sz w:val="24"/>
                <w:szCs w:val="24"/>
              </w:rPr>
            </w:pPr>
            <w:r>
              <w:rPr>
                <w:rFonts w:ascii="Times New Roman" w:hAnsi="Times New Roman" w:cs="Times New Roman"/>
                <w:b/>
                <w:bCs/>
                <w:color w:val="70AD47"/>
                <w:sz w:val="24"/>
                <w:szCs w:val="24"/>
              </w:rPr>
              <w:t>Recommendations to be presented on March 29</w:t>
            </w:r>
            <w:r w:rsidRPr="002A5FC4">
              <w:rPr>
                <w:rFonts w:ascii="Times New Roman" w:hAnsi="Times New Roman" w:cs="Times New Roman"/>
                <w:b/>
                <w:bCs/>
                <w:color w:val="70AD47"/>
                <w:sz w:val="24"/>
                <w:szCs w:val="24"/>
                <w:vertAlign w:val="superscript"/>
              </w:rPr>
              <w:t>th</w:t>
            </w:r>
            <w:r>
              <w:rPr>
                <w:rFonts w:ascii="Times New Roman" w:hAnsi="Times New Roman" w:cs="Times New Roman"/>
                <w:b/>
                <w:bCs/>
                <w:color w:val="70AD47"/>
                <w:sz w:val="24"/>
                <w:szCs w:val="24"/>
              </w:rPr>
              <w:t xml:space="preserve"> </w:t>
            </w:r>
          </w:p>
        </w:tc>
      </w:tr>
      <w:tr w:rsidR="007433C0" w:rsidTr="00425DD6">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3C0" w:rsidRDefault="007433C0" w:rsidP="00425DD6">
            <w:pPr>
              <w:spacing w:line="252" w:lineRule="auto"/>
              <w:rPr>
                <w:rFonts w:ascii="Times New Roman" w:hAnsi="Times New Roman" w:cs="Times New Roman"/>
                <w:b/>
                <w:bCs/>
                <w:i/>
                <w:iCs/>
                <w:color w:val="7030A0"/>
                <w:sz w:val="24"/>
                <w:szCs w:val="24"/>
              </w:rPr>
            </w:pPr>
            <w:r>
              <w:rPr>
                <w:rFonts w:ascii="Times New Roman" w:hAnsi="Times New Roman" w:cs="Times New Roman"/>
                <w:b/>
                <w:bCs/>
                <w:i/>
                <w:iCs/>
                <w:color w:val="7030A0"/>
                <w:sz w:val="24"/>
                <w:szCs w:val="24"/>
              </w:rPr>
              <w:t>Research and clinical care mission</w:t>
            </w:r>
          </w:p>
        </w:tc>
        <w:tc>
          <w:tcPr>
            <w:tcW w:w="2890" w:type="dxa"/>
            <w:tcBorders>
              <w:top w:val="nil"/>
              <w:left w:val="nil"/>
              <w:bottom w:val="single" w:sz="8" w:space="0" w:color="auto"/>
              <w:right w:val="single" w:sz="8" w:space="0" w:color="auto"/>
            </w:tcBorders>
            <w:tcMar>
              <w:top w:w="0" w:type="dxa"/>
              <w:left w:w="108" w:type="dxa"/>
              <w:bottom w:w="0" w:type="dxa"/>
              <w:right w:w="108" w:type="dxa"/>
            </w:tcMar>
            <w:hideMark/>
          </w:tcPr>
          <w:p w:rsidR="007433C0" w:rsidRDefault="002A5FC4" w:rsidP="002A5FC4">
            <w:pPr>
              <w:spacing w:line="252" w:lineRule="auto"/>
              <w:rPr>
                <w:rFonts w:ascii="Times New Roman" w:hAnsi="Times New Roman" w:cs="Times New Roman"/>
                <w:b/>
                <w:bCs/>
                <w:color w:val="70AD47"/>
                <w:sz w:val="24"/>
                <w:szCs w:val="24"/>
              </w:rPr>
            </w:pPr>
            <w:r>
              <w:rPr>
                <w:rFonts w:ascii="Times New Roman" w:hAnsi="Times New Roman" w:cs="Times New Roman"/>
                <w:b/>
                <w:bCs/>
                <w:color w:val="70AD47"/>
                <w:sz w:val="24"/>
                <w:szCs w:val="24"/>
              </w:rPr>
              <w:t>Recommendations to be presented probably next Academic Year</w:t>
            </w:r>
          </w:p>
        </w:tc>
      </w:tr>
      <w:tr w:rsidR="007433C0" w:rsidTr="00425DD6">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33C0" w:rsidRDefault="007433C0" w:rsidP="00425DD6">
            <w:pPr>
              <w:spacing w:line="252" w:lineRule="auto"/>
              <w:rPr>
                <w:rFonts w:ascii="Times New Roman" w:hAnsi="Times New Roman" w:cs="Times New Roman"/>
                <w:b/>
                <w:bCs/>
                <w:i/>
                <w:iCs/>
                <w:color w:val="7030A0"/>
                <w:sz w:val="24"/>
                <w:szCs w:val="24"/>
              </w:rPr>
            </w:pPr>
          </w:p>
        </w:tc>
        <w:tc>
          <w:tcPr>
            <w:tcW w:w="2890" w:type="dxa"/>
            <w:tcBorders>
              <w:top w:val="nil"/>
              <w:left w:val="nil"/>
              <w:bottom w:val="single" w:sz="8" w:space="0" w:color="auto"/>
              <w:right w:val="single" w:sz="8" w:space="0" w:color="auto"/>
            </w:tcBorders>
            <w:tcMar>
              <w:top w:w="0" w:type="dxa"/>
              <w:left w:w="108" w:type="dxa"/>
              <w:bottom w:w="0" w:type="dxa"/>
              <w:right w:w="108" w:type="dxa"/>
            </w:tcMar>
            <w:hideMark/>
          </w:tcPr>
          <w:p w:rsidR="007433C0" w:rsidRDefault="007433C0" w:rsidP="00425DD6">
            <w:pPr>
              <w:spacing w:line="252" w:lineRule="auto"/>
              <w:rPr>
                <w:rFonts w:ascii="Times New Roman" w:hAnsi="Times New Roman" w:cs="Times New Roman"/>
                <w:b/>
                <w:bCs/>
                <w:color w:val="70AD47"/>
                <w:sz w:val="24"/>
                <w:szCs w:val="24"/>
              </w:rPr>
            </w:pPr>
          </w:p>
        </w:tc>
      </w:tr>
    </w:tbl>
    <w:p w:rsidR="00980C42" w:rsidRDefault="00980C42" w:rsidP="00CA6CC7">
      <w:pPr>
        <w:rPr>
          <w:rFonts w:ascii="Times New Roman" w:hAnsi="Times New Roman"/>
          <w:sz w:val="36"/>
        </w:rPr>
      </w:pPr>
    </w:p>
    <w:p w:rsidR="00EE7D0D" w:rsidRDefault="00EE7D0D" w:rsidP="00CA6CC7">
      <w:pPr>
        <w:rPr>
          <w:rFonts w:ascii="Times New Roman" w:hAnsi="Times New Roman"/>
          <w:sz w:val="36"/>
        </w:rPr>
      </w:pPr>
    </w:p>
    <w:p w:rsidR="00EE7D0D" w:rsidRPr="00D3394E" w:rsidRDefault="00EE7D0D" w:rsidP="00CA6CC7">
      <w:pPr>
        <w:rPr>
          <w:rFonts w:ascii="Times New Roman" w:hAnsi="Times New Roman"/>
          <w:b/>
          <w:sz w:val="36"/>
        </w:rPr>
      </w:pPr>
      <w:r>
        <w:rPr>
          <w:rFonts w:ascii="Times New Roman" w:hAnsi="Times New Roman"/>
          <w:b/>
          <w:color w:val="833C0B" w:themeColor="accent2" w:themeShade="80"/>
          <w:sz w:val="36"/>
        </w:rPr>
        <w:t>Current SAC-EDI m</w:t>
      </w:r>
      <w:r w:rsidRPr="007433C0">
        <w:rPr>
          <w:rFonts w:ascii="Times New Roman" w:hAnsi="Times New Roman"/>
          <w:b/>
          <w:color w:val="833C0B" w:themeColor="accent2" w:themeShade="80"/>
          <w:sz w:val="36"/>
        </w:rPr>
        <w:t>embership</w:t>
      </w:r>
    </w:p>
    <w:p w:rsidR="00EE7D0D" w:rsidRPr="00D3394E" w:rsidRDefault="00EE7D0D" w:rsidP="00EE7D0D">
      <w:pPr>
        <w:rPr>
          <w:rFonts w:ascii="Times New Roman" w:hAnsi="Times New Roman" w:cs="Times New Roman"/>
          <w:b/>
          <w:bCs/>
          <w:sz w:val="24"/>
          <w:szCs w:val="24"/>
        </w:rPr>
      </w:pPr>
      <w:r w:rsidRPr="00D3394E">
        <w:rPr>
          <w:rFonts w:ascii="Times New Roman" w:hAnsi="Times New Roman" w:cs="Times New Roman"/>
          <w:b/>
          <w:bCs/>
          <w:sz w:val="24"/>
          <w:szCs w:val="24"/>
        </w:rPr>
        <w:t>SAC</w:t>
      </w:r>
      <w:r w:rsidRPr="00D3394E">
        <w:rPr>
          <w:rFonts w:ascii="Times New Roman" w:hAnsi="Times New Roman" w:cs="Times New Roman"/>
          <w:b/>
          <w:bCs/>
          <w:sz w:val="24"/>
          <w:szCs w:val="24"/>
        </w:rPr>
        <w:t>-EDI</w:t>
      </w:r>
      <w:r w:rsidRPr="00D3394E">
        <w:rPr>
          <w:rFonts w:ascii="Times New Roman" w:hAnsi="Times New Roman" w:cs="Times New Roman"/>
          <w:b/>
          <w:bCs/>
          <w:sz w:val="24"/>
          <w:szCs w:val="24"/>
        </w:rPr>
        <w:t xml:space="preserve"> </w:t>
      </w:r>
      <w:r w:rsidRPr="00D3394E">
        <w:rPr>
          <w:rFonts w:ascii="Times New Roman" w:hAnsi="Times New Roman" w:cs="Times New Roman"/>
          <w:b/>
          <w:bCs/>
          <w:sz w:val="24"/>
          <w:szCs w:val="24"/>
        </w:rPr>
        <w:t xml:space="preserve">membership can be found at </w:t>
      </w:r>
      <w:hyperlink r:id="rId13" w:history="1">
        <w:r w:rsidRPr="00D3394E">
          <w:rPr>
            <w:rStyle w:val="Hyperlink"/>
            <w:color w:val="auto"/>
          </w:rPr>
          <w:t>https://academi</w:t>
        </w:r>
        <w:r w:rsidRPr="00D3394E">
          <w:rPr>
            <w:rStyle w:val="Hyperlink"/>
            <w:color w:val="auto"/>
          </w:rPr>
          <w:t>c-senate.utah.edu/committees/sacd/</w:t>
        </w:r>
      </w:hyperlink>
      <w:r w:rsidRPr="00D3394E">
        <w:t>.</w:t>
      </w:r>
    </w:p>
    <w:p w:rsidR="00EE7D0D" w:rsidRPr="00980C42" w:rsidRDefault="00EE7D0D" w:rsidP="00CA6CC7">
      <w:pPr>
        <w:rPr>
          <w:rFonts w:ascii="Times New Roman" w:hAnsi="Times New Roman"/>
          <w:sz w:val="36"/>
        </w:rPr>
      </w:pPr>
      <w:bookmarkStart w:id="0" w:name="_GoBack"/>
      <w:bookmarkEnd w:id="0"/>
    </w:p>
    <w:sectPr w:rsidR="00EE7D0D" w:rsidRPr="00980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62B"/>
    <w:multiLevelType w:val="hybridMultilevel"/>
    <w:tmpl w:val="D08C4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F23AB"/>
    <w:multiLevelType w:val="hybridMultilevel"/>
    <w:tmpl w:val="B38CB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026BC"/>
    <w:multiLevelType w:val="hybridMultilevel"/>
    <w:tmpl w:val="F3466576"/>
    <w:lvl w:ilvl="0" w:tplc="229625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D45BD2"/>
    <w:multiLevelType w:val="hybridMultilevel"/>
    <w:tmpl w:val="FB327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84182"/>
    <w:multiLevelType w:val="hybridMultilevel"/>
    <w:tmpl w:val="49C69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B3DC0"/>
    <w:multiLevelType w:val="hybridMultilevel"/>
    <w:tmpl w:val="E30CF512"/>
    <w:lvl w:ilvl="0" w:tplc="4D4A7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C47334"/>
    <w:multiLevelType w:val="hybridMultilevel"/>
    <w:tmpl w:val="105CE1F2"/>
    <w:lvl w:ilvl="0" w:tplc="F73C66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64"/>
    <w:rsid w:val="00036BA0"/>
    <w:rsid w:val="00076609"/>
    <w:rsid w:val="00081DA6"/>
    <w:rsid w:val="0008593B"/>
    <w:rsid w:val="000B09A7"/>
    <w:rsid w:val="00192AAD"/>
    <w:rsid w:val="001C2B72"/>
    <w:rsid w:val="001F08CF"/>
    <w:rsid w:val="00213A95"/>
    <w:rsid w:val="002411D3"/>
    <w:rsid w:val="002A5FC4"/>
    <w:rsid w:val="002E3913"/>
    <w:rsid w:val="00347D2C"/>
    <w:rsid w:val="003B1205"/>
    <w:rsid w:val="003B7DC2"/>
    <w:rsid w:val="003C3207"/>
    <w:rsid w:val="0044778E"/>
    <w:rsid w:val="0048333F"/>
    <w:rsid w:val="004D4B30"/>
    <w:rsid w:val="004E0314"/>
    <w:rsid w:val="00520249"/>
    <w:rsid w:val="0059274E"/>
    <w:rsid w:val="00604A84"/>
    <w:rsid w:val="006117E9"/>
    <w:rsid w:val="00664DC3"/>
    <w:rsid w:val="006938B8"/>
    <w:rsid w:val="006D3B27"/>
    <w:rsid w:val="006D44E0"/>
    <w:rsid w:val="00735D34"/>
    <w:rsid w:val="007433C0"/>
    <w:rsid w:val="00753E5E"/>
    <w:rsid w:val="00854C22"/>
    <w:rsid w:val="00980C42"/>
    <w:rsid w:val="00983155"/>
    <w:rsid w:val="009C330E"/>
    <w:rsid w:val="009D723D"/>
    <w:rsid w:val="00A1381F"/>
    <w:rsid w:val="00A27579"/>
    <w:rsid w:val="00A80344"/>
    <w:rsid w:val="00A95024"/>
    <w:rsid w:val="00AB73A7"/>
    <w:rsid w:val="00AE07F7"/>
    <w:rsid w:val="00BC0BD5"/>
    <w:rsid w:val="00CA6CC7"/>
    <w:rsid w:val="00CC60C2"/>
    <w:rsid w:val="00D163D5"/>
    <w:rsid w:val="00D3394E"/>
    <w:rsid w:val="00DC2D1D"/>
    <w:rsid w:val="00E12E6C"/>
    <w:rsid w:val="00E57064"/>
    <w:rsid w:val="00EE7D0D"/>
    <w:rsid w:val="00F902E6"/>
    <w:rsid w:val="00FF0FA4"/>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A11E"/>
  <w15:chartTrackingRefBased/>
  <w15:docId w15:val="{353E953A-FE35-48A5-92E6-DD939178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064"/>
    <w:pPr>
      <w:ind w:left="720"/>
      <w:contextualSpacing/>
    </w:pPr>
  </w:style>
  <w:style w:type="paragraph" w:styleId="NormalWeb">
    <w:name w:val="Normal (Web)"/>
    <w:basedOn w:val="Normal"/>
    <w:uiPriority w:val="99"/>
    <w:unhideWhenUsed/>
    <w:rsid w:val="002411D3"/>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8333F"/>
    <w:rPr>
      <w:color w:val="0563C1" w:themeColor="hyperlink"/>
      <w:u w:val="single"/>
    </w:rPr>
  </w:style>
  <w:style w:type="character" w:styleId="CommentReference">
    <w:name w:val="annotation reference"/>
    <w:basedOn w:val="DefaultParagraphFont"/>
    <w:uiPriority w:val="99"/>
    <w:semiHidden/>
    <w:unhideWhenUsed/>
    <w:rsid w:val="00EE7D0D"/>
    <w:rPr>
      <w:sz w:val="16"/>
      <w:szCs w:val="16"/>
    </w:rPr>
  </w:style>
  <w:style w:type="paragraph" w:styleId="CommentText">
    <w:name w:val="annotation text"/>
    <w:basedOn w:val="Normal"/>
    <w:link w:val="CommentTextChar"/>
    <w:uiPriority w:val="99"/>
    <w:semiHidden/>
    <w:unhideWhenUsed/>
    <w:rsid w:val="00EE7D0D"/>
    <w:pPr>
      <w:spacing w:line="240" w:lineRule="auto"/>
    </w:pPr>
    <w:rPr>
      <w:sz w:val="20"/>
      <w:szCs w:val="20"/>
    </w:rPr>
  </w:style>
  <w:style w:type="character" w:customStyle="1" w:styleId="CommentTextChar">
    <w:name w:val="Comment Text Char"/>
    <w:basedOn w:val="DefaultParagraphFont"/>
    <w:link w:val="CommentText"/>
    <w:uiPriority w:val="99"/>
    <w:semiHidden/>
    <w:rsid w:val="00EE7D0D"/>
    <w:rPr>
      <w:sz w:val="20"/>
      <w:szCs w:val="20"/>
    </w:rPr>
  </w:style>
  <w:style w:type="paragraph" w:styleId="BalloonText">
    <w:name w:val="Balloon Text"/>
    <w:basedOn w:val="Normal"/>
    <w:link w:val="BalloonTextChar"/>
    <w:uiPriority w:val="99"/>
    <w:semiHidden/>
    <w:unhideWhenUsed/>
    <w:rsid w:val="00EE7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0D"/>
    <w:rPr>
      <w:rFonts w:ascii="Segoe UI" w:hAnsi="Segoe UI" w:cs="Segoe UI"/>
      <w:sz w:val="18"/>
      <w:szCs w:val="18"/>
    </w:rPr>
  </w:style>
  <w:style w:type="character" w:styleId="FollowedHyperlink">
    <w:name w:val="FollowedHyperlink"/>
    <w:basedOn w:val="DefaultParagraphFont"/>
    <w:uiPriority w:val="99"/>
    <w:semiHidden/>
    <w:unhideWhenUsed/>
    <w:rsid w:val="00EE7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0308">
      <w:bodyDiv w:val="1"/>
      <w:marLeft w:val="0"/>
      <w:marRight w:val="0"/>
      <w:marTop w:val="0"/>
      <w:marBottom w:val="0"/>
      <w:divBdr>
        <w:top w:val="none" w:sz="0" w:space="0" w:color="auto"/>
        <w:left w:val="none" w:sz="0" w:space="0" w:color="auto"/>
        <w:bottom w:val="none" w:sz="0" w:space="0" w:color="auto"/>
        <w:right w:val="none" w:sz="0" w:space="0" w:color="auto"/>
      </w:divBdr>
    </w:div>
    <w:div w:id="756828580">
      <w:bodyDiv w:val="1"/>
      <w:marLeft w:val="0"/>
      <w:marRight w:val="0"/>
      <w:marTop w:val="0"/>
      <w:marBottom w:val="0"/>
      <w:divBdr>
        <w:top w:val="none" w:sz="0" w:space="0" w:color="auto"/>
        <w:left w:val="none" w:sz="0" w:space="0" w:color="auto"/>
        <w:bottom w:val="none" w:sz="0" w:space="0" w:color="auto"/>
        <w:right w:val="none" w:sz="0" w:space="0" w:color="auto"/>
      </w:divBdr>
    </w:div>
    <w:div w:id="1015961894">
      <w:bodyDiv w:val="1"/>
      <w:marLeft w:val="0"/>
      <w:marRight w:val="0"/>
      <w:marTop w:val="0"/>
      <w:marBottom w:val="0"/>
      <w:divBdr>
        <w:top w:val="none" w:sz="0" w:space="0" w:color="auto"/>
        <w:left w:val="none" w:sz="0" w:space="0" w:color="auto"/>
        <w:bottom w:val="none" w:sz="0" w:space="0" w:color="auto"/>
        <w:right w:val="none" w:sz="0" w:space="0" w:color="auto"/>
      </w:divBdr>
    </w:div>
    <w:div w:id="1577546585">
      <w:bodyDiv w:val="1"/>
      <w:marLeft w:val="0"/>
      <w:marRight w:val="0"/>
      <w:marTop w:val="0"/>
      <w:marBottom w:val="0"/>
      <w:divBdr>
        <w:top w:val="none" w:sz="0" w:space="0" w:color="auto"/>
        <w:left w:val="none" w:sz="0" w:space="0" w:color="auto"/>
        <w:bottom w:val="none" w:sz="0" w:space="0" w:color="auto"/>
        <w:right w:val="none" w:sz="0" w:space="0" w:color="auto"/>
      </w:divBdr>
    </w:div>
    <w:div w:id="1578712177">
      <w:bodyDiv w:val="1"/>
      <w:marLeft w:val="0"/>
      <w:marRight w:val="0"/>
      <w:marTop w:val="0"/>
      <w:marBottom w:val="0"/>
      <w:divBdr>
        <w:top w:val="none" w:sz="0" w:space="0" w:color="auto"/>
        <w:left w:val="none" w:sz="0" w:space="0" w:color="auto"/>
        <w:bottom w:val="none" w:sz="0" w:space="0" w:color="auto"/>
        <w:right w:val="none" w:sz="0" w:space="0" w:color="auto"/>
      </w:divBdr>
    </w:div>
    <w:div w:id="1722439666">
      <w:bodyDiv w:val="1"/>
      <w:marLeft w:val="0"/>
      <w:marRight w:val="0"/>
      <w:marTop w:val="0"/>
      <w:marBottom w:val="0"/>
      <w:divBdr>
        <w:top w:val="none" w:sz="0" w:space="0" w:color="auto"/>
        <w:left w:val="none" w:sz="0" w:space="0" w:color="auto"/>
        <w:bottom w:val="none" w:sz="0" w:space="0" w:color="auto"/>
        <w:right w:val="none" w:sz="0" w:space="0" w:color="auto"/>
      </w:divBdr>
    </w:div>
    <w:div w:id="1732579947">
      <w:bodyDiv w:val="1"/>
      <w:marLeft w:val="0"/>
      <w:marRight w:val="0"/>
      <w:marTop w:val="0"/>
      <w:marBottom w:val="0"/>
      <w:divBdr>
        <w:top w:val="none" w:sz="0" w:space="0" w:color="auto"/>
        <w:left w:val="none" w:sz="0" w:space="0" w:color="auto"/>
        <w:bottom w:val="none" w:sz="0" w:space="0" w:color="auto"/>
        <w:right w:val="none" w:sz="0" w:space="0" w:color="auto"/>
      </w:divBdr>
    </w:div>
    <w:div w:id="1735548502">
      <w:bodyDiv w:val="1"/>
      <w:marLeft w:val="0"/>
      <w:marRight w:val="0"/>
      <w:marTop w:val="0"/>
      <w:marBottom w:val="0"/>
      <w:divBdr>
        <w:top w:val="none" w:sz="0" w:space="0" w:color="auto"/>
        <w:left w:val="none" w:sz="0" w:space="0" w:color="auto"/>
        <w:bottom w:val="none" w:sz="0" w:space="0" w:color="auto"/>
        <w:right w:val="none" w:sz="0" w:space="0" w:color="auto"/>
      </w:divBdr>
    </w:div>
    <w:div w:id="18447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academic-senate.utah.edu/committees/sacd/" TargetMode="Externa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s://academic-affairs.utah.edu/office-for-faculty/rpttrainingandtempl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globaldiversitypractice.com/what-is-diversity-inclusion/" TargetMode="External"/><Relationship Id="rId5" Type="http://schemas.openxmlformats.org/officeDocument/2006/relationships/hyperlink" Target="https://regulations.utah.edu/academics/6-002.php" TargetMode="Externa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EB2892-EA1F-44AB-AF45-9E65F5295D19}"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C942813F-F37B-482A-B29D-584A9EB196D8}">
      <dgm:prSet phldrT="[Text]"/>
      <dgm:spPr/>
      <dgm:t>
        <a:bodyPr/>
        <a:lstStyle/>
        <a:p>
          <a:r>
            <a:rPr lang="en-US"/>
            <a:t>SAC-EDI</a:t>
          </a:r>
        </a:p>
      </dgm:t>
    </dgm:pt>
    <dgm:pt modelId="{A369B681-074F-4E7D-9A6E-50116A7320E3}" type="parTrans" cxnId="{11726F7E-0010-4229-859D-4013A3D5B5E4}">
      <dgm:prSet/>
      <dgm:spPr/>
      <dgm:t>
        <a:bodyPr/>
        <a:lstStyle/>
        <a:p>
          <a:endParaRPr lang="en-US"/>
        </a:p>
      </dgm:t>
    </dgm:pt>
    <dgm:pt modelId="{15468B94-5D21-4135-AD58-0B0A3868CDDC}" type="sibTrans" cxnId="{11726F7E-0010-4229-859D-4013A3D5B5E4}">
      <dgm:prSet/>
      <dgm:spPr/>
      <dgm:t>
        <a:bodyPr/>
        <a:lstStyle/>
        <a:p>
          <a:endParaRPr lang="en-US"/>
        </a:p>
      </dgm:t>
    </dgm:pt>
    <dgm:pt modelId="{BFF5D57A-C1E4-4A8E-B098-CA2AA2038ED1}">
      <dgm:prSet phldrT="[Text]"/>
      <dgm:spPr/>
      <dgm:t>
        <a:bodyPr/>
        <a:lstStyle/>
        <a:p>
          <a:r>
            <a:rPr lang="en-US"/>
            <a:t>promoting EQUITY in all University units and programs through diversity statements in hiring and annual reviews, supportive programs and resources, educational programs, and legal and policy enforcement</a:t>
          </a:r>
        </a:p>
      </dgm:t>
    </dgm:pt>
    <dgm:pt modelId="{F2678B78-BB84-414A-81A7-FBF0A50505F0}" type="parTrans" cxnId="{E8B54BCC-DEAD-46E8-82A9-5C404DF439D2}">
      <dgm:prSet/>
      <dgm:spPr/>
      <dgm:t>
        <a:bodyPr/>
        <a:lstStyle/>
        <a:p>
          <a:endParaRPr lang="en-US"/>
        </a:p>
      </dgm:t>
    </dgm:pt>
    <dgm:pt modelId="{E73E48C3-0192-4BBA-8102-1AB534711F1E}" type="sibTrans" cxnId="{E8B54BCC-DEAD-46E8-82A9-5C404DF439D2}">
      <dgm:prSet/>
      <dgm:spPr/>
      <dgm:t>
        <a:bodyPr/>
        <a:lstStyle/>
        <a:p>
          <a:endParaRPr lang="en-US"/>
        </a:p>
      </dgm:t>
    </dgm:pt>
    <dgm:pt modelId="{31FB6917-E0B1-477C-81FC-9D6AABC66DE4}">
      <dgm:prSet/>
      <dgm:spPr/>
      <dgm:t>
        <a:bodyPr/>
        <a:lstStyle/>
        <a:p>
          <a:r>
            <a:rPr lang="en-US"/>
            <a:t>Insuring student, staff, faculty, and administrative  </a:t>
          </a:r>
          <a:r>
            <a:rPr lang="en-US" b="1"/>
            <a:t>DIVERSITY </a:t>
          </a:r>
          <a:r>
            <a:rPr lang="en-US"/>
            <a:t>through targeted recruitment, admissions and retention policies.</a:t>
          </a:r>
        </a:p>
      </dgm:t>
    </dgm:pt>
    <dgm:pt modelId="{BAFBD43D-7909-4A20-90DB-F1922A283744}" type="parTrans" cxnId="{8FABD963-B764-4A24-9740-6BDCB402AFE0}">
      <dgm:prSet/>
      <dgm:spPr/>
      <dgm:t>
        <a:bodyPr/>
        <a:lstStyle/>
        <a:p>
          <a:endParaRPr lang="en-US"/>
        </a:p>
      </dgm:t>
    </dgm:pt>
    <dgm:pt modelId="{F49B2C00-19A5-405E-A4CB-4CA3ADAFBA3C}" type="sibTrans" cxnId="{8FABD963-B764-4A24-9740-6BDCB402AFE0}">
      <dgm:prSet/>
      <dgm:spPr/>
      <dgm:t>
        <a:bodyPr/>
        <a:lstStyle/>
        <a:p>
          <a:endParaRPr lang="en-US"/>
        </a:p>
      </dgm:t>
    </dgm:pt>
    <dgm:pt modelId="{AD9EA99A-624D-4E4E-AC96-DFE621601DCE}">
      <dgm:prSet/>
      <dgm:spPr/>
      <dgm:t>
        <a:bodyPr/>
        <a:lstStyle/>
        <a:p>
          <a:r>
            <a:rPr lang="en-US"/>
            <a:t>Supporting INCLUSION through policies that support retention and promotion of all students, staff, faculty, administration,   culture change and affinity and intergroup dialogue practice.</a:t>
          </a:r>
        </a:p>
      </dgm:t>
    </dgm:pt>
    <dgm:pt modelId="{B1859042-39AA-4462-9896-BFAC668C215D}" type="parTrans" cxnId="{1059721E-5BF1-41CF-A133-0F09F8307D69}">
      <dgm:prSet/>
      <dgm:spPr/>
      <dgm:t>
        <a:bodyPr/>
        <a:lstStyle/>
        <a:p>
          <a:endParaRPr lang="en-US"/>
        </a:p>
      </dgm:t>
    </dgm:pt>
    <dgm:pt modelId="{BB06CD66-F7F7-4BD9-980D-65D1EFA5D857}" type="sibTrans" cxnId="{1059721E-5BF1-41CF-A133-0F09F8307D69}">
      <dgm:prSet/>
      <dgm:spPr/>
      <dgm:t>
        <a:bodyPr/>
        <a:lstStyle/>
        <a:p>
          <a:endParaRPr lang="en-US"/>
        </a:p>
      </dgm:t>
    </dgm:pt>
    <dgm:pt modelId="{03CF7066-9CDA-44E4-A677-376177C22DCA}">
      <dgm:prSet/>
      <dgm:spPr/>
      <dgm:t>
        <a:bodyPr/>
        <a:lstStyle/>
        <a:p>
          <a:r>
            <a:rPr lang="en-US" b="1"/>
            <a:t>Dismantling </a:t>
          </a:r>
          <a:r>
            <a:rPr lang="en-US"/>
            <a:t>systems of privilege and oppression through scholarly activity, curriculum development, teaching strategies and community service</a:t>
          </a:r>
        </a:p>
      </dgm:t>
    </dgm:pt>
    <dgm:pt modelId="{681997FE-B026-4F10-8313-FF16A239D8B1}" type="parTrans" cxnId="{3C285A22-DA0D-40FF-9BED-5234ECCFCE19}">
      <dgm:prSet/>
      <dgm:spPr/>
      <dgm:t>
        <a:bodyPr/>
        <a:lstStyle/>
        <a:p>
          <a:endParaRPr lang="en-US"/>
        </a:p>
      </dgm:t>
    </dgm:pt>
    <dgm:pt modelId="{B031B96D-596D-4917-98CE-AADBF893B124}" type="sibTrans" cxnId="{3C285A22-DA0D-40FF-9BED-5234ECCFCE19}">
      <dgm:prSet/>
      <dgm:spPr/>
      <dgm:t>
        <a:bodyPr/>
        <a:lstStyle/>
        <a:p>
          <a:endParaRPr lang="en-US"/>
        </a:p>
      </dgm:t>
    </dgm:pt>
    <dgm:pt modelId="{83CA6EAA-BF3A-4CA3-B17E-F594EBD4FD6D}" type="pres">
      <dgm:prSet presAssocID="{DFEB2892-EA1F-44AB-AF45-9E65F5295D19}" presName="Name0" presStyleCnt="0">
        <dgm:presLayoutVars>
          <dgm:chMax val="1"/>
          <dgm:dir/>
          <dgm:animLvl val="ctr"/>
          <dgm:resizeHandles val="exact"/>
        </dgm:presLayoutVars>
      </dgm:prSet>
      <dgm:spPr/>
      <dgm:t>
        <a:bodyPr/>
        <a:lstStyle/>
        <a:p>
          <a:endParaRPr lang="en-US"/>
        </a:p>
      </dgm:t>
    </dgm:pt>
    <dgm:pt modelId="{7A02F455-6426-457D-A318-8EEC85BA4BC1}" type="pres">
      <dgm:prSet presAssocID="{C942813F-F37B-482A-B29D-584A9EB196D8}" presName="centerShape" presStyleLbl="node0" presStyleIdx="0" presStyleCnt="1" custScaleX="75949"/>
      <dgm:spPr/>
      <dgm:t>
        <a:bodyPr/>
        <a:lstStyle/>
        <a:p>
          <a:endParaRPr lang="en-US"/>
        </a:p>
      </dgm:t>
    </dgm:pt>
    <dgm:pt modelId="{E4AAB918-0145-4943-8179-99A8117E9DAE}" type="pres">
      <dgm:prSet presAssocID="{F2678B78-BB84-414A-81A7-FBF0A50505F0}" presName="parTrans" presStyleLbl="sibTrans2D1" presStyleIdx="0" presStyleCnt="4"/>
      <dgm:spPr/>
      <dgm:t>
        <a:bodyPr/>
        <a:lstStyle/>
        <a:p>
          <a:endParaRPr lang="en-US"/>
        </a:p>
      </dgm:t>
    </dgm:pt>
    <dgm:pt modelId="{FFBE69E2-F0A9-4D62-B440-F5D0B694D588}" type="pres">
      <dgm:prSet presAssocID="{F2678B78-BB84-414A-81A7-FBF0A50505F0}" presName="connectorText" presStyleLbl="sibTrans2D1" presStyleIdx="0" presStyleCnt="4"/>
      <dgm:spPr/>
      <dgm:t>
        <a:bodyPr/>
        <a:lstStyle/>
        <a:p>
          <a:endParaRPr lang="en-US"/>
        </a:p>
      </dgm:t>
    </dgm:pt>
    <dgm:pt modelId="{77BEB2C1-40E0-4CE2-885D-4A7D51EAF988}" type="pres">
      <dgm:prSet presAssocID="{BFF5D57A-C1E4-4A8E-B098-CA2AA2038ED1}" presName="node" presStyleLbl="node1" presStyleIdx="0" presStyleCnt="4" custScaleX="193503">
        <dgm:presLayoutVars>
          <dgm:bulletEnabled val="1"/>
        </dgm:presLayoutVars>
      </dgm:prSet>
      <dgm:spPr/>
      <dgm:t>
        <a:bodyPr/>
        <a:lstStyle/>
        <a:p>
          <a:endParaRPr lang="en-US"/>
        </a:p>
      </dgm:t>
    </dgm:pt>
    <dgm:pt modelId="{E867D030-98B0-4CE9-AE53-C71F48FECE64}" type="pres">
      <dgm:prSet presAssocID="{BAFBD43D-7909-4A20-90DB-F1922A283744}" presName="parTrans" presStyleLbl="sibTrans2D1" presStyleIdx="1" presStyleCnt="4"/>
      <dgm:spPr/>
      <dgm:t>
        <a:bodyPr/>
        <a:lstStyle/>
        <a:p>
          <a:endParaRPr lang="en-US"/>
        </a:p>
      </dgm:t>
    </dgm:pt>
    <dgm:pt modelId="{327B1BFC-6288-4C7E-AACF-B8FD7B954870}" type="pres">
      <dgm:prSet presAssocID="{BAFBD43D-7909-4A20-90DB-F1922A283744}" presName="connectorText" presStyleLbl="sibTrans2D1" presStyleIdx="1" presStyleCnt="4"/>
      <dgm:spPr/>
      <dgm:t>
        <a:bodyPr/>
        <a:lstStyle/>
        <a:p>
          <a:endParaRPr lang="en-US"/>
        </a:p>
      </dgm:t>
    </dgm:pt>
    <dgm:pt modelId="{0ECB9D27-E867-4CE1-8087-39166E7E1AF9}" type="pres">
      <dgm:prSet presAssocID="{31FB6917-E0B1-477C-81FC-9D6AABC66DE4}" presName="node" presStyleLbl="node1" presStyleIdx="1" presStyleCnt="4" custScaleX="134080" custScaleY="154266">
        <dgm:presLayoutVars>
          <dgm:bulletEnabled val="1"/>
        </dgm:presLayoutVars>
      </dgm:prSet>
      <dgm:spPr/>
      <dgm:t>
        <a:bodyPr/>
        <a:lstStyle/>
        <a:p>
          <a:endParaRPr lang="en-US"/>
        </a:p>
      </dgm:t>
    </dgm:pt>
    <dgm:pt modelId="{C3AFED8A-1C0E-40FE-BC8C-67BF110CC72C}" type="pres">
      <dgm:prSet presAssocID="{681997FE-B026-4F10-8313-FF16A239D8B1}" presName="parTrans" presStyleLbl="sibTrans2D1" presStyleIdx="2" presStyleCnt="4"/>
      <dgm:spPr/>
      <dgm:t>
        <a:bodyPr/>
        <a:lstStyle/>
        <a:p>
          <a:endParaRPr lang="en-US"/>
        </a:p>
      </dgm:t>
    </dgm:pt>
    <dgm:pt modelId="{C371BA8F-D8CD-4B0B-8023-5451CCE09DCB}" type="pres">
      <dgm:prSet presAssocID="{681997FE-B026-4F10-8313-FF16A239D8B1}" presName="connectorText" presStyleLbl="sibTrans2D1" presStyleIdx="2" presStyleCnt="4"/>
      <dgm:spPr/>
      <dgm:t>
        <a:bodyPr/>
        <a:lstStyle/>
        <a:p>
          <a:endParaRPr lang="en-US"/>
        </a:p>
      </dgm:t>
    </dgm:pt>
    <dgm:pt modelId="{99D003A9-39A0-4764-B39A-70EFD610DA2F}" type="pres">
      <dgm:prSet presAssocID="{03CF7066-9CDA-44E4-A677-376177C22DCA}" presName="node" presStyleLbl="node1" presStyleIdx="2" presStyleCnt="4" custScaleX="210050">
        <dgm:presLayoutVars>
          <dgm:bulletEnabled val="1"/>
        </dgm:presLayoutVars>
      </dgm:prSet>
      <dgm:spPr/>
      <dgm:t>
        <a:bodyPr/>
        <a:lstStyle/>
        <a:p>
          <a:endParaRPr lang="en-US"/>
        </a:p>
      </dgm:t>
    </dgm:pt>
    <dgm:pt modelId="{7A42C086-99B8-43CA-8C45-714DD2FABF68}" type="pres">
      <dgm:prSet presAssocID="{B1859042-39AA-4462-9896-BFAC668C215D}" presName="parTrans" presStyleLbl="sibTrans2D1" presStyleIdx="3" presStyleCnt="4"/>
      <dgm:spPr/>
      <dgm:t>
        <a:bodyPr/>
        <a:lstStyle/>
        <a:p>
          <a:endParaRPr lang="en-US"/>
        </a:p>
      </dgm:t>
    </dgm:pt>
    <dgm:pt modelId="{5DAB645E-9EB2-4562-894B-D5C20FC69C1B}" type="pres">
      <dgm:prSet presAssocID="{B1859042-39AA-4462-9896-BFAC668C215D}" presName="connectorText" presStyleLbl="sibTrans2D1" presStyleIdx="3" presStyleCnt="4"/>
      <dgm:spPr/>
      <dgm:t>
        <a:bodyPr/>
        <a:lstStyle/>
        <a:p>
          <a:endParaRPr lang="en-US"/>
        </a:p>
      </dgm:t>
    </dgm:pt>
    <dgm:pt modelId="{233111C5-20EA-4656-80C8-A8391CE421B5}" type="pres">
      <dgm:prSet presAssocID="{AD9EA99A-624D-4E4E-AC96-DFE621601DCE}" presName="node" presStyleLbl="node1" presStyleIdx="3" presStyleCnt="4" custScaleX="140373" custScaleY="148463" custRadScaleRad="94232" custRadScaleInc="-2345">
        <dgm:presLayoutVars>
          <dgm:bulletEnabled val="1"/>
        </dgm:presLayoutVars>
      </dgm:prSet>
      <dgm:spPr/>
      <dgm:t>
        <a:bodyPr/>
        <a:lstStyle/>
        <a:p>
          <a:endParaRPr lang="en-US"/>
        </a:p>
      </dgm:t>
    </dgm:pt>
  </dgm:ptLst>
  <dgm:cxnLst>
    <dgm:cxn modelId="{C099EDC3-C2C1-4FDD-86D7-AC6C75EE7A62}" type="presOf" srcId="{31FB6917-E0B1-477C-81FC-9D6AABC66DE4}" destId="{0ECB9D27-E867-4CE1-8087-39166E7E1AF9}" srcOrd="0" destOrd="0" presId="urn:microsoft.com/office/officeart/2005/8/layout/radial5"/>
    <dgm:cxn modelId="{AFD8C069-8FEB-41F5-A3D9-35AB11D0C7DB}" type="presOf" srcId="{AD9EA99A-624D-4E4E-AC96-DFE621601DCE}" destId="{233111C5-20EA-4656-80C8-A8391CE421B5}" srcOrd="0" destOrd="0" presId="urn:microsoft.com/office/officeart/2005/8/layout/radial5"/>
    <dgm:cxn modelId="{B1CFDC84-E4C9-4596-B132-E5F0BFAC5199}" type="presOf" srcId="{BFF5D57A-C1E4-4A8E-B098-CA2AA2038ED1}" destId="{77BEB2C1-40E0-4CE2-885D-4A7D51EAF988}" srcOrd="0" destOrd="0" presId="urn:microsoft.com/office/officeart/2005/8/layout/radial5"/>
    <dgm:cxn modelId="{3C285A22-DA0D-40FF-9BED-5234ECCFCE19}" srcId="{C942813F-F37B-482A-B29D-584A9EB196D8}" destId="{03CF7066-9CDA-44E4-A677-376177C22DCA}" srcOrd="2" destOrd="0" parTransId="{681997FE-B026-4F10-8313-FF16A239D8B1}" sibTransId="{B031B96D-596D-4917-98CE-AADBF893B124}"/>
    <dgm:cxn modelId="{F4B4EC4E-1A7B-4FEE-8F97-88A357C9DBD3}" type="presOf" srcId="{B1859042-39AA-4462-9896-BFAC668C215D}" destId="{5DAB645E-9EB2-4562-894B-D5C20FC69C1B}" srcOrd="1" destOrd="0" presId="urn:microsoft.com/office/officeart/2005/8/layout/radial5"/>
    <dgm:cxn modelId="{11726F7E-0010-4229-859D-4013A3D5B5E4}" srcId="{DFEB2892-EA1F-44AB-AF45-9E65F5295D19}" destId="{C942813F-F37B-482A-B29D-584A9EB196D8}" srcOrd="0" destOrd="0" parTransId="{A369B681-074F-4E7D-9A6E-50116A7320E3}" sibTransId="{15468B94-5D21-4135-AD58-0B0A3868CDDC}"/>
    <dgm:cxn modelId="{4244A275-2AF5-41EC-AB68-70690F3E7F07}" type="presOf" srcId="{BAFBD43D-7909-4A20-90DB-F1922A283744}" destId="{E867D030-98B0-4CE9-AE53-C71F48FECE64}" srcOrd="0" destOrd="0" presId="urn:microsoft.com/office/officeart/2005/8/layout/radial5"/>
    <dgm:cxn modelId="{D67B43FF-7603-4FF9-8986-35D5A582E60C}" type="presOf" srcId="{B1859042-39AA-4462-9896-BFAC668C215D}" destId="{7A42C086-99B8-43CA-8C45-714DD2FABF68}" srcOrd="0" destOrd="0" presId="urn:microsoft.com/office/officeart/2005/8/layout/radial5"/>
    <dgm:cxn modelId="{5F87E2DB-A3D3-41D9-BB17-C203924C9119}" type="presOf" srcId="{C942813F-F37B-482A-B29D-584A9EB196D8}" destId="{7A02F455-6426-457D-A318-8EEC85BA4BC1}" srcOrd="0" destOrd="0" presId="urn:microsoft.com/office/officeart/2005/8/layout/radial5"/>
    <dgm:cxn modelId="{8FD44874-AB13-4D76-9899-69DFF5A04B7F}" type="presOf" srcId="{BAFBD43D-7909-4A20-90DB-F1922A283744}" destId="{327B1BFC-6288-4C7E-AACF-B8FD7B954870}" srcOrd="1" destOrd="0" presId="urn:microsoft.com/office/officeart/2005/8/layout/radial5"/>
    <dgm:cxn modelId="{8FABD963-B764-4A24-9740-6BDCB402AFE0}" srcId="{C942813F-F37B-482A-B29D-584A9EB196D8}" destId="{31FB6917-E0B1-477C-81FC-9D6AABC66DE4}" srcOrd="1" destOrd="0" parTransId="{BAFBD43D-7909-4A20-90DB-F1922A283744}" sibTransId="{F49B2C00-19A5-405E-A4CB-4CA3ADAFBA3C}"/>
    <dgm:cxn modelId="{334BECAE-AD92-426D-B5AE-E84081191DA4}" type="presOf" srcId="{F2678B78-BB84-414A-81A7-FBF0A50505F0}" destId="{E4AAB918-0145-4943-8179-99A8117E9DAE}" srcOrd="0" destOrd="0" presId="urn:microsoft.com/office/officeart/2005/8/layout/radial5"/>
    <dgm:cxn modelId="{C7474DEF-065A-499D-BE32-E40B9151BDD3}" type="presOf" srcId="{681997FE-B026-4F10-8313-FF16A239D8B1}" destId="{C3AFED8A-1C0E-40FE-BC8C-67BF110CC72C}" srcOrd="0" destOrd="0" presId="urn:microsoft.com/office/officeart/2005/8/layout/radial5"/>
    <dgm:cxn modelId="{AD117343-556E-487A-BB76-459F48226CE6}" type="presOf" srcId="{DFEB2892-EA1F-44AB-AF45-9E65F5295D19}" destId="{83CA6EAA-BF3A-4CA3-B17E-F594EBD4FD6D}" srcOrd="0" destOrd="0" presId="urn:microsoft.com/office/officeart/2005/8/layout/radial5"/>
    <dgm:cxn modelId="{541773C0-6BEF-4241-8CD9-6FF5080016AE}" type="presOf" srcId="{03CF7066-9CDA-44E4-A677-376177C22DCA}" destId="{99D003A9-39A0-4764-B39A-70EFD610DA2F}" srcOrd="0" destOrd="0" presId="urn:microsoft.com/office/officeart/2005/8/layout/radial5"/>
    <dgm:cxn modelId="{1059721E-5BF1-41CF-A133-0F09F8307D69}" srcId="{C942813F-F37B-482A-B29D-584A9EB196D8}" destId="{AD9EA99A-624D-4E4E-AC96-DFE621601DCE}" srcOrd="3" destOrd="0" parTransId="{B1859042-39AA-4462-9896-BFAC668C215D}" sibTransId="{BB06CD66-F7F7-4BD9-980D-65D1EFA5D857}"/>
    <dgm:cxn modelId="{C034C11B-DCA8-463C-B737-8C5C9C59F573}" type="presOf" srcId="{F2678B78-BB84-414A-81A7-FBF0A50505F0}" destId="{FFBE69E2-F0A9-4D62-B440-F5D0B694D588}" srcOrd="1" destOrd="0" presId="urn:microsoft.com/office/officeart/2005/8/layout/radial5"/>
    <dgm:cxn modelId="{656DD86A-1D1E-4B50-9E25-F1F9801DFAAA}" type="presOf" srcId="{681997FE-B026-4F10-8313-FF16A239D8B1}" destId="{C371BA8F-D8CD-4B0B-8023-5451CCE09DCB}" srcOrd="1" destOrd="0" presId="urn:microsoft.com/office/officeart/2005/8/layout/radial5"/>
    <dgm:cxn modelId="{E8B54BCC-DEAD-46E8-82A9-5C404DF439D2}" srcId="{C942813F-F37B-482A-B29D-584A9EB196D8}" destId="{BFF5D57A-C1E4-4A8E-B098-CA2AA2038ED1}" srcOrd="0" destOrd="0" parTransId="{F2678B78-BB84-414A-81A7-FBF0A50505F0}" sibTransId="{E73E48C3-0192-4BBA-8102-1AB534711F1E}"/>
    <dgm:cxn modelId="{B1127A75-3C57-4E4C-92D3-DC26C9367D06}" type="presParOf" srcId="{83CA6EAA-BF3A-4CA3-B17E-F594EBD4FD6D}" destId="{7A02F455-6426-457D-A318-8EEC85BA4BC1}" srcOrd="0" destOrd="0" presId="urn:microsoft.com/office/officeart/2005/8/layout/radial5"/>
    <dgm:cxn modelId="{838618C1-D075-4D0A-B588-C19923C804D4}" type="presParOf" srcId="{83CA6EAA-BF3A-4CA3-B17E-F594EBD4FD6D}" destId="{E4AAB918-0145-4943-8179-99A8117E9DAE}" srcOrd="1" destOrd="0" presId="urn:microsoft.com/office/officeart/2005/8/layout/radial5"/>
    <dgm:cxn modelId="{7891AB16-73AC-4D67-82CD-272039BC48F7}" type="presParOf" srcId="{E4AAB918-0145-4943-8179-99A8117E9DAE}" destId="{FFBE69E2-F0A9-4D62-B440-F5D0B694D588}" srcOrd="0" destOrd="0" presId="urn:microsoft.com/office/officeart/2005/8/layout/radial5"/>
    <dgm:cxn modelId="{964747FE-0569-4842-8E63-0CCA9EB7F237}" type="presParOf" srcId="{83CA6EAA-BF3A-4CA3-B17E-F594EBD4FD6D}" destId="{77BEB2C1-40E0-4CE2-885D-4A7D51EAF988}" srcOrd="2" destOrd="0" presId="urn:microsoft.com/office/officeart/2005/8/layout/radial5"/>
    <dgm:cxn modelId="{EFCCE182-D61D-48C2-A7F0-9612494ABCFB}" type="presParOf" srcId="{83CA6EAA-BF3A-4CA3-B17E-F594EBD4FD6D}" destId="{E867D030-98B0-4CE9-AE53-C71F48FECE64}" srcOrd="3" destOrd="0" presId="urn:microsoft.com/office/officeart/2005/8/layout/radial5"/>
    <dgm:cxn modelId="{5E0F3880-8353-4BA2-9455-F4088B4E0217}" type="presParOf" srcId="{E867D030-98B0-4CE9-AE53-C71F48FECE64}" destId="{327B1BFC-6288-4C7E-AACF-B8FD7B954870}" srcOrd="0" destOrd="0" presId="urn:microsoft.com/office/officeart/2005/8/layout/radial5"/>
    <dgm:cxn modelId="{F62561BD-D486-4790-BABB-A3DC804D4C3A}" type="presParOf" srcId="{83CA6EAA-BF3A-4CA3-B17E-F594EBD4FD6D}" destId="{0ECB9D27-E867-4CE1-8087-39166E7E1AF9}" srcOrd="4" destOrd="0" presId="urn:microsoft.com/office/officeart/2005/8/layout/radial5"/>
    <dgm:cxn modelId="{28DBEA02-D619-4DFF-8D68-37AF04E3BF21}" type="presParOf" srcId="{83CA6EAA-BF3A-4CA3-B17E-F594EBD4FD6D}" destId="{C3AFED8A-1C0E-40FE-BC8C-67BF110CC72C}" srcOrd="5" destOrd="0" presId="urn:microsoft.com/office/officeart/2005/8/layout/radial5"/>
    <dgm:cxn modelId="{FE0E1DA5-85F0-4459-A3A1-BE1A6655B589}" type="presParOf" srcId="{C3AFED8A-1C0E-40FE-BC8C-67BF110CC72C}" destId="{C371BA8F-D8CD-4B0B-8023-5451CCE09DCB}" srcOrd="0" destOrd="0" presId="urn:microsoft.com/office/officeart/2005/8/layout/radial5"/>
    <dgm:cxn modelId="{113389BF-0B51-484B-99A8-9C11F0F92044}" type="presParOf" srcId="{83CA6EAA-BF3A-4CA3-B17E-F594EBD4FD6D}" destId="{99D003A9-39A0-4764-B39A-70EFD610DA2F}" srcOrd="6" destOrd="0" presId="urn:microsoft.com/office/officeart/2005/8/layout/radial5"/>
    <dgm:cxn modelId="{0E3FED15-29A6-4B10-AC0C-42D22800825A}" type="presParOf" srcId="{83CA6EAA-BF3A-4CA3-B17E-F594EBD4FD6D}" destId="{7A42C086-99B8-43CA-8C45-714DD2FABF68}" srcOrd="7" destOrd="0" presId="urn:microsoft.com/office/officeart/2005/8/layout/radial5"/>
    <dgm:cxn modelId="{29EAEC79-45BB-4C23-A397-8A29567978C5}" type="presParOf" srcId="{7A42C086-99B8-43CA-8C45-714DD2FABF68}" destId="{5DAB645E-9EB2-4562-894B-D5C20FC69C1B}" srcOrd="0" destOrd="0" presId="urn:microsoft.com/office/officeart/2005/8/layout/radial5"/>
    <dgm:cxn modelId="{3B8D69AE-23E9-4329-BFDE-7C82A4B4D264}" type="presParOf" srcId="{83CA6EAA-BF3A-4CA3-B17E-F594EBD4FD6D}" destId="{233111C5-20EA-4656-80C8-A8391CE421B5}" srcOrd="8" destOrd="0" presId="urn:microsoft.com/office/officeart/2005/8/layout/radial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02F455-6426-457D-A318-8EEC85BA4BC1}">
      <dsp:nvSpPr>
        <dsp:cNvPr id="0" name=""/>
        <dsp:cNvSpPr/>
      </dsp:nvSpPr>
      <dsp:spPr>
        <a:xfrm>
          <a:off x="2594231" y="1818075"/>
          <a:ext cx="826514" cy="108824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t>SAC-EDI</a:t>
          </a:r>
        </a:p>
      </dsp:txBody>
      <dsp:txXfrm>
        <a:off x="2715271" y="1977445"/>
        <a:ext cx="584434" cy="769509"/>
      </dsp:txXfrm>
    </dsp:sp>
    <dsp:sp modelId="{E4AAB918-0145-4943-8179-99A8117E9DAE}">
      <dsp:nvSpPr>
        <dsp:cNvPr id="0" name=""/>
        <dsp:cNvSpPr/>
      </dsp:nvSpPr>
      <dsp:spPr>
        <a:xfrm rot="16200000">
          <a:off x="2891276" y="1496559"/>
          <a:ext cx="232425" cy="2176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923924" y="1572737"/>
        <a:ext cx="167130" cy="130589"/>
      </dsp:txXfrm>
    </dsp:sp>
    <dsp:sp modelId="{77BEB2C1-40E0-4CE2-885D-4A7D51EAF988}">
      <dsp:nvSpPr>
        <dsp:cNvPr id="0" name=""/>
        <dsp:cNvSpPr/>
      </dsp:nvSpPr>
      <dsp:spPr>
        <a:xfrm>
          <a:off x="1691366" y="19225"/>
          <a:ext cx="2632244" cy="13603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promoting EQUITY in all University units and programs through diversity statements in hiring and annual reviews, supportive programs and resources, educational programs, and legal and policy enforcement</a:t>
          </a:r>
        </a:p>
      </dsp:txBody>
      <dsp:txXfrm>
        <a:off x="2076849" y="218438"/>
        <a:ext cx="1861278" cy="961886"/>
      </dsp:txXfrm>
    </dsp:sp>
    <dsp:sp modelId="{E867D030-98B0-4CE9-AE53-C71F48FECE64}">
      <dsp:nvSpPr>
        <dsp:cNvPr id="0" name=""/>
        <dsp:cNvSpPr/>
      </dsp:nvSpPr>
      <dsp:spPr>
        <a:xfrm>
          <a:off x="3495019" y="2253375"/>
          <a:ext cx="178932" cy="2176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495019" y="2296905"/>
        <a:ext cx="125252" cy="130589"/>
      </dsp:txXfrm>
    </dsp:sp>
    <dsp:sp modelId="{0ECB9D27-E867-4CE1-8087-39166E7E1AF9}">
      <dsp:nvSpPr>
        <dsp:cNvPr id="0" name=""/>
        <dsp:cNvSpPr/>
      </dsp:nvSpPr>
      <dsp:spPr>
        <a:xfrm>
          <a:off x="3758354" y="1312950"/>
          <a:ext cx="1823906" cy="209849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Insuring student, staff, faculty, and administrative  </a:t>
          </a:r>
          <a:r>
            <a:rPr lang="en-US" sz="800" b="1" kern="1200"/>
            <a:t>DIVERSITY </a:t>
          </a:r>
          <a:r>
            <a:rPr lang="en-US" sz="800" kern="1200"/>
            <a:t>through targeted recruitment, admissions and retention policies.</a:t>
          </a:r>
        </a:p>
      </dsp:txBody>
      <dsp:txXfrm>
        <a:off x="4025459" y="1620268"/>
        <a:ext cx="1289696" cy="1483862"/>
      </dsp:txXfrm>
    </dsp:sp>
    <dsp:sp modelId="{C3AFED8A-1C0E-40FE-BC8C-67BF110CC72C}">
      <dsp:nvSpPr>
        <dsp:cNvPr id="0" name=""/>
        <dsp:cNvSpPr/>
      </dsp:nvSpPr>
      <dsp:spPr>
        <a:xfrm rot="5400000">
          <a:off x="2891276" y="3010190"/>
          <a:ext cx="232425" cy="2176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923924" y="3021073"/>
        <a:ext cx="167130" cy="130589"/>
      </dsp:txXfrm>
    </dsp:sp>
    <dsp:sp modelId="{99D003A9-39A0-4764-B39A-70EFD610DA2F}">
      <dsp:nvSpPr>
        <dsp:cNvPr id="0" name=""/>
        <dsp:cNvSpPr/>
      </dsp:nvSpPr>
      <dsp:spPr>
        <a:xfrm>
          <a:off x="1578820" y="3344862"/>
          <a:ext cx="2857335" cy="13603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t>Dismantling </a:t>
          </a:r>
          <a:r>
            <a:rPr lang="en-US" sz="800" kern="1200"/>
            <a:t>systems of privilege and oppression through scholarly activity, curriculum development, teaching strategies and community service</a:t>
          </a:r>
        </a:p>
      </dsp:txBody>
      <dsp:txXfrm>
        <a:off x="1997267" y="3544075"/>
        <a:ext cx="2020441" cy="961886"/>
      </dsp:txXfrm>
    </dsp:sp>
    <dsp:sp modelId="{7A42C086-99B8-43CA-8C45-714DD2FABF68}">
      <dsp:nvSpPr>
        <dsp:cNvPr id="0" name=""/>
        <dsp:cNvSpPr/>
      </dsp:nvSpPr>
      <dsp:spPr>
        <a:xfrm rot="10736685">
          <a:off x="2445152" y="2262762"/>
          <a:ext cx="105389" cy="2176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476766" y="2306001"/>
        <a:ext cx="73772" cy="130589"/>
      </dsp:txXfrm>
    </dsp:sp>
    <dsp:sp modelId="{233111C5-20EA-4656-80C8-A8391CE421B5}">
      <dsp:nvSpPr>
        <dsp:cNvPr id="0" name=""/>
        <dsp:cNvSpPr/>
      </dsp:nvSpPr>
      <dsp:spPr>
        <a:xfrm>
          <a:off x="486091" y="1381276"/>
          <a:ext cx="1909510" cy="20195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Supporting INCLUSION through policies that support retention and promotion of all students, staff, faculty, administration,   culture change and affinity and intergroup dialogue practice.</a:t>
          </a:r>
        </a:p>
      </dsp:txBody>
      <dsp:txXfrm>
        <a:off x="765732" y="1677034"/>
        <a:ext cx="1350228" cy="14280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Derezotes</dc:creator>
  <cp:keywords/>
  <dc:description/>
  <cp:lastModifiedBy>David Derezotes</cp:lastModifiedBy>
  <cp:revision>2</cp:revision>
  <dcterms:created xsi:type="dcterms:W3CDTF">2021-03-09T01:46:00Z</dcterms:created>
  <dcterms:modified xsi:type="dcterms:W3CDTF">2021-03-09T01:46:00Z</dcterms:modified>
</cp:coreProperties>
</file>